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53" w:rsidRDefault="00DF1D53" w:rsidP="00DF1D53">
      <w:pPr>
        <w:ind w:firstLine="567"/>
        <w:jc w:val="center"/>
        <w:rPr>
          <w:b/>
          <w:bCs/>
        </w:rPr>
      </w:pPr>
      <w:r>
        <w:rPr>
          <w:b/>
          <w:bCs/>
        </w:rPr>
        <w:t>ОБЗОР ЗАКОНОДАТЕЛЬСТВА НА 0</w:t>
      </w:r>
      <w:r w:rsidR="008F5D94">
        <w:rPr>
          <w:b/>
          <w:bCs/>
        </w:rPr>
        <w:t>8</w:t>
      </w:r>
      <w:r>
        <w:rPr>
          <w:b/>
          <w:bCs/>
        </w:rPr>
        <w:t>.06.2015</w:t>
      </w:r>
      <w:r w:rsidR="001026E0">
        <w:rPr>
          <w:b/>
          <w:bCs/>
        </w:rPr>
        <w:t xml:space="preserve"> </w:t>
      </w:r>
      <w:bookmarkStart w:id="0" w:name="_GoBack"/>
      <w:bookmarkEnd w:id="0"/>
      <w:r w:rsidR="001026E0">
        <w:rPr>
          <w:b/>
          <w:bCs/>
        </w:rPr>
        <w:t>г</w:t>
      </w:r>
      <w:r>
        <w:rPr>
          <w:b/>
          <w:bCs/>
        </w:rPr>
        <w:t>.</w:t>
      </w:r>
    </w:p>
    <w:p w:rsidR="008A6651" w:rsidRPr="000D3A55" w:rsidRDefault="000D3A55" w:rsidP="000D3A55">
      <w:pPr>
        <w:ind w:firstLine="567"/>
        <w:jc w:val="both"/>
      </w:pPr>
      <w:r w:rsidRPr="000D3A55">
        <w:rPr>
          <w:b/>
          <w:bCs/>
        </w:rPr>
        <w:t xml:space="preserve">1. </w:t>
      </w:r>
      <w:hyperlink r:id="rId6" w:history="1">
        <w:r w:rsidR="008A6651" w:rsidRPr="000D3A55">
          <w:rPr>
            <w:rStyle w:val="a3"/>
            <w:b/>
            <w:bCs/>
            <w:color w:val="auto"/>
          </w:rPr>
          <w:t xml:space="preserve">Приказ </w:t>
        </w:r>
        <w:proofErr w:type="spellStart"/>
        <w:r w:rsidR="008A6651" w:rsidRPr="000D3A55">
          <w:rPr>
            <w:rStyle w:val="a3"/>
            <w:b/>
            <w:bCs/>
            <w:color w:val="auto"/>
          </w:rPr>
          <w:t>Росстандарта</w:t>
        </w:r>
        <w:proofErr w:type="spellEnd"/>
        <w:r w:rsidR="008A6651" w:rsidRPr="000D3A55">
          <w:rPr>
            <w:rStyle w:val="a3"/>
            <w:b/>
            <w:bCs/>
            <w:color w:val="auto"/>
          </w:rPr>
          <w:t xml:space="preserve"> от 15.05.2015 N 578 "Об утверждении температурных коэффициентов на второе полугодие 2015 года"</w:t>
        </w:r>
      </w:hyperlink>
    </w:p>
    <w:p w:rsidR="008A6651" w:rsidRDefault="008A6651" w:rsidP="000D3A55">
      <w:pPr>
        <w:ind w:firstLine="567"/>
        <w:jc w:val="both"/>
      </w:pPr>
      <w:proofErr w:type="gramStart"/>
      <w:r>
        <w:t>Опубликован</w:t>
      </w:r>
      <w:proofErr w:type="gramEnd"/>
      <w:r>
        <w:t xml:space="preserve"> 28.05.2015 года.</w:t>
      </w:r>
    </w:p>
    <w:p w:rsidR="008A6651" w:rsidRPr="008A6651" w:rsidRDefault="008A6651" w:rsidP="000D3A55">
      <w:pPr>
        <w:ind w:firstLine="567"/>
        <w:jc w:val="both"/>
        <w:rPr>
          <w:b/>
          <w:bCs/>
        </w:rPr>
      </w:pPr>
      <w:r w:rsidRPr="008A6651">
        <w:rPr>
          <w:b/>
          <w:bCs/>
        </w:rPr>
        <w:t>Утверждены температурные коэффициенты для расчета объема потребленного газа на второе полугодие 2015 года</w:t>
      </w:r>
    </w:p>
    <w:p w:rsidR="008A6651" w:rsidRPr="008A6651" w:rsidRDefault="008A6651" w:rsidP="000D3A55">
      <w:pPr>
        <w:ind w:firstLine="567"/>
        <w:jc w:val="both"/>
      </w:pPr>
    </w:p>
    <w:p w:rsidR="008A6651" w:rsidRPr="008A6651" w:rsidRDefault="008A6651" w:rsidP="000D3A55">
      <w:pPr>
        <w:ind w:firstLine="567"/>
        <w:jc w:val="both"/>
      </w:pPr>
      <w:r w:rsidRPr="008A6651">
        <w:t>Данные коэффициенты будут учитываться при расчете объема потребленного газа по показаниям приборов учета газа, не имеющих температурной компенсации (п. 26 Правил поставки газа, утв. постановлением Правительства РФ от 21.07.2008 N 549).</w:t>
      </w:r>
    </w:p>
    <w:p w:rsidR="008A6651" w:rsidRPr="008A6651" w:rsidRDefault="008A6651" w:rsidP="000D3A55">
      <w:pPr>
        <w:ind w:firstLine="567"/>
        <w:jc w:val="both"/>
      </w:pPr>
      <w:r w:rsidRPr="008A6651">
        <w:t>Коэффициенты будут применяться к отношениям, возникшим с 1 июля 2015 года.</w:t>
      </w:r>
    </w:p>
    <w:p w:rsidR="00604BC9" w:rsidRDefault="008A6651">
      <w:r w:rsidRPr="008A6651">
        <w:br/>
      </w:r>
      <w:hyperlink r:id="rId7" w:history="1">
        <w:r w:rsidRPr="008A6651">
          <w:rPr>
            <w:rStyle w:val="a3"/>
          </w:rPr>
          <w:t>http://www.consultant.ru/law/hotdocs/43243.html</w:t>
        </w:r>
      </w:hyperlink>
      <w:r w:rsidRPr="008A6651">
        <w:br/>
      </w:r>
    </w:p>
    <w:p w:rsidR="00671ACC" w:rsidRDefault="00671ACC">
      <w:r>
        <w:t>_____________________________________________________________________________</w:t>
      </w:r>
    </w:p>
    <w:p w:rsidR="00671ACC" w:rsidRDefault="00671ACC"/>
    <w:p w:rsidR="00671ACC" w:rsidRPr="00671ACC" w:rsidRDefault="000D3A55" w:rsidP="00671ACC">
      <w:pPr>
        <w:ind w:firstLine="567"/>
        <w:jc w:val="both"/>
      </w:pPr>
      <w:r w:rsidRPr="000D3A55">
        <w:rPr>
          <w:b/>
          <w:bCs/>
        </w:rPr>
        <w:t xml:space="preserve">2. </w:t>
      </w:r>
      <w:hyperlink r:id="rId8" w:history="1">
        <w:r w:rsidR="00671ACC" w:rsidRPr="000D3A55">
          <w:rPr>
            <w:b/>
            <w:bCs/>
            <w:u w:val="single"/>
          </w:rPr>
          <w:t>Информационное письмо ФАС России от 27.05.2015 № ИА/26126/15 "Об оценке обстоятельств, связанных с доступом операторов связи в многоквартирные дома"</w:t>
        </w:r>
      </w:hyperlink>
      <w:r>
        <w:rPr>
          <w:b/>
          <w:bCs/>
        </w:rPr>
        <w:t>.</w:t>
      </w:r>
    </w:p>
    <w:p w:rsidR="00671ACC" w:rsidRDefault="00671ACC" w:rsidP="00671ACC">
      <w:pPr>
        <w:ind w:firstLine="567"/>
        <w:jc w:val="both"/>
        <w:outlineLvl w:val="0"/>
        <w:rPr>
          <w:b/>
          <w:bCs/>
          <w:kern w:val="36"/>
        </w:rPr>
      </w:pPr>
    </w:p>
    <w:p w:rsidR="00671ACC" w:rsidRPr="00671ACC" w:rsidRDefault="00671ACC" w:rsidP="00671ACC">
      <w:pPr>
        <w:ind w:firstLine="567"/>
        <w:jc w:val="both"/>
        <w:outlineLvl w:val="0"/>
        <w:rPr>
          <w:b/>
          <w:bCs/>
          <w:kern w:val="36"/>
        </w:rPr>
      </w:pPr>
      <w:r w:rsidRPr="00671ACC">
        <w:rPr>
          <w:b/>
          <w:bCs/>
          <w:kern w:val="36"/>
        </w:rPr>
        <w:t>Необоснованный отказ управляющей организации в доступе оператора связи в многоквартирный дом для размещения линий связи может нарушать антимонопольное законодательство</w:t>
      </w:r>
      <w:r>
        <w:rPr>
          <w:b/>
          <w:bCs/>
          <w:kern w:val="36"/>
        </w:rPr>
        <w:t>.</w:t>
      </w:r>
    </w:p>
    <w:p w:rsidR="00671ACC" w:rsidRDefault="00671ACC" w:rsidP="00671ACC">
      <w:pPr>
        <w:ind w:firstLine="567"/>
        <w:jc w:val="both"/>
      </w:pPr>
    </w:p>
    <w:p w:rsidR="00671ACC" w:rsidRPr="00671ACC" w:rsidRDefault="00671ACC" w:rsidP="00671ACC">
      <w:pPr>
        <w:ind w:firstLine="567"/>
        <w:jc w:val="both"/>
      </w:pPr>
      <w:r>
        <w:t>В указанном выше письме ФАС России о</w:t>
      </w:r>
      <w:r w:rsidRPr="00671ACC">
        <w:t>тмечается, что в настоящее время территориальными органами ФАС России рассматриваются заявления, дела о нарушении антимонопольного законодательства, связанные с ограничением доступа операторов связи в многоквартирные дома (МКД) с целью размещения средств и линий связи, необходимых для организации технологического подключения абонента, проживающего в МКД.</w:t>
      </w:r>
    </w:p>
    <w:p w:rsidR="00671ACC" w:rsidRPr="00671ACC" w:rsidRDefault="00671ACC" w:rsidP="00671ACC">
      <w:pPr>
        <w:ind w:firstLine="567"/>
        <w:jc w:val="both"/>
      </w:pPr>
      <w:r w:rsidRPr="00671ACC">
        <w:t>Предоставление услуг связи (по технологиям, предусматривающим организацию проводной абонентской линии) гражданам, проживающим в МКД, может осуществляться только при условии размещения оборудования оператора связи на объектах, относящихся к общему имуществу МКД.</w:t>
      </w:r>
    </w:p>
    <w:p w:rsidR="00671ACC" w:rsidRPr="00671ACC" w:rsidRDefault="00671ACC" w:rsidP="00671ACC">
      <w:pPr>
        <w:ind w:firstLine="567"/>
        <w:jc w:val="both"/>
      </w:pPr>
      <w:r w:rsidRPr="00671ACC">
        <w:t>Размещение средств и линий связи в МКД является необходимым условием оказания услуг связи гражданам и одним из существенных административных барьеров для входа на рынок, при этом вопросы обеспечения возможности операторам связи доступа в МКД являются необходимым условием для развития конкуренции на рынке услуг связи.</w:t>
      </w:r>
    </w:p>
    <w:p w:rsidR="00671ACC" w:rsidRPr="00671ACC" w:rsidRDefault="00671ACC" w:rsidP="00671ACC">
      <w:pPr>
        <w:ind w:firstLine="567"/>
        <w:jc w:val="both"/>
        <w:rPr>
          <w:u w:val="single"/>
        </w:rPr>
      </w:pPr>
      <w:r w:rsidRPr="00671ACC">
        <w:rPr>
          <w:u w:val="single"/>
        </w:rPr>
        <w:t>Наиболее распространенными являются случаи, когда управляющая организация МКД, в том числе:</w:t>
      </w:r>
    </w:p>
    <w:p w:rsidR="00671ACC" w:rsidRPr="00671ACC" w:rsidRDefault="00671ACC" w:rsidP="00671ACC">
      <w:pPr>
        <w:ind w:firstLine="567"/>
        <w:jc w:val="both"/>
      </w:pPr>
      <w:r>
        <w:t xml:space="preserve">- </w:t>
      </w:r>
      <w:r w:rsidRPr="00671ACC">
        <w:t>необоснованно препятствует оператору связи в доступе в МКД, в частности, в результате отказа в доступе или навязывания невыгодных и необоснованных условий доступа;</w:t>
      </w:r>
    </w:p>
    <w:p w:rsidR="00671ACC" w:rsidRPr="00671ACC" w:rsidRDefault="00671ACC" w:rsidP="00671ACC">
      <w:pPr>
        <w:ind w:firstLine="567"/>
        <w:jc w:val="both"/>
      </w:pPr>
      <w:r>
        <w:t xml:space="preserve">- </w:t>
      </w:r>
      <w:r w:rsidRPr="00671ACC">
        <w:t>устанавливает необоснованные требования по размещению оборудования связи, по доступу операторов связи к размещенному оборудованию связи.</w:t>
      </w:r>
    </w:p>
    <w:p w:rsidR="00671ACC" w:rsidRPr="00671ACC" w:rsidRDefault="00671ACC" w:rsidP="00671ACC">
      <w:pPr>
        <w:ind w:firstLine="567"/>
        <w:jc w:val="both"/>
      </w:pPr>
      <w:proofErr w:type="gramStart"/>
      <w:r w:rsidRPr="00671ACC">
        <w:t>Сообщается, что при рассмотрении заявлений о создании препятствий доступу оператора связи в МКД необходимо принимать во внимание наличие или отсутствие полномочий по распоряжению общим имуществом МКД организации, действия (бездействие) которой обжалуется, наличие (отсутствие) легитимного решения собрания собственников в отношении рассматриваемых обстоятельств, а также наличие (отсутствие) технической возможности размещения сетей связи и сооружения связи в объектах, относящихся к общему имуществу в</w:t>
      </w:r>
      <w:proofErr w:type="gramEnd"/>
      <w:r w:rsidRPr="00671ACC">
        <w:t xml:space="preserve"> МКД.</w:t>
      </w:r>
    </w:p>
    <w:p w:rsidR="00671ACC" w:rsidRPr="00671ACC" w:rsidRDefault="00671ACC" w:rsidP="00671ACC">
      <w:pPr>
        <w:ind w:firstLine="567"/>
        <w:jc w:val="both"/>
      </w:pPr>
      <w:r w:rsidRPr="00671ACC">
        <w:t>Также даны подробные разъяснения по вопросам:</w:t>
      </w:r>
    </w:p>
    <w:p w:rsidR="00671ACC" w:rsidRPr="00671ACC" w:rsidRDefault="00671ACC" w:rsidP="00671ACC">
      <w:pPr>
        <w:ind w:firstLine="567"/>
        <w:jc w:val="both"/>
      </w:pPr>
      <w:r>
        <w:lastRenderedPageBreak/>
        <w:t xml:space="preserve">- </w:t>
      </w:r>
      <w:r w:rsidRPr="00671ACC">
        <w:t>размещения средств и линий связи, необходимых для обеспечения доступа абонента к сети связи оператора связи в помещениях, относящихся к общему имуществу собственников помещений в МКД;</w:t>
      </w:r>
    </w:p>
    <w:p w:rsidR="00671ACC" w:rsidRPr="00671ACC" w:rsidRDefault="00671ACC" w:rsidP="00671ACC">
      <w:pPr>
        <w:ind w:firstLine="567"/>
        <w:jc w:val="both"/>
      </w:pPr>
      <w:r>
        <w:t xml:space="preserve">- </w:t>
      </w:r>
      <w:r w:rsidRPr="00671ACC">
        <w:t>взимания с операторов связи платы за размещение средств и линий связи, необходимых для обеспечения доступа абонента к сети связи оператора связи в помещениях, относящихся к общему имуществу собственников помещений в МКД.</w:t>
      </w:r>
    </w:p>
    <w:p w:rsidR="00671ACC" w:rsidRDefault="00671ACC" w:rsidP="00671ACC">
      <w:pPr>
        <w:ind w:firstLine="567"/>
        <w:jc w:val="both"/>
      </w:pPr>
      <w:r w:rsidRPr="00671ACC">
        <w:br/>
      </w:r>
      <w:hyperlink r:id="rId9" w:history="1">
        <w:r w:rsidRPr="00671ACC">
          <w:rPr>
            <w:color w:val="0000FF"/>
            <w:u w:val="single"/>
          </w:rPr>
          <w:t>http://www.consultant.ru/law/hotdocs/43265.html</w:t>
        </w:r>
      </w:hyperlink>
      <w:r w:rsidRPr="00671ACC">
        <w:br/>
      </w:r>
      <w:r>
        <w:t>____________________________________________________________________________</w:t>
      </w:r>
    </w:p>
    <w:p w:rsidR="00C55D5D" w:rsidRPr="00DF1D53" w:rsidRDefault="00DF1D53" w:rsidP="00DF1D53">
      <w:pPr>
        <w:spacing w:before="100" w:beforeAutospacing="1" w:after="100" w:afterAutospacing="1"/>
        <w:ind w:firstLine="567"/>
        <w:rPr>
          <w:b/>
        </w:rPr>
      </w:pPr>
      <w:r w:rsidRPr="00DF1D53">
        <w:rPr>
          <w:b/>
        </w:rPr>
        <w:t xml:space="preserve">3. </w:t>
      </w:r>
      <w:hyperlink r:id="rId10" w:history="1">
        <w:r w:rsidR="00C55D5D" w:rsidRPr="00DF1D53">
          <w:rPr>
            <w:b/>
            <w:bCs/>
            <w:u w:val="single"/>
          </w:rPr>
          <w:t>Приказ Минстроя России от 29.12.2014 N 924/</w:t>
        </w:r>
        <w:proofErr w:type="spellStart"/>
        <w:proofErr w:type="gramStart"/>
        <w:r w:rsidR="00C55D5D" w:rsidRPr="00DF1D53">
          <w:rPr>
            <w:b/>
            <w:bCs/>
            <w:u w:val="single"/>
          </w:rPr>
          <w:t>пр</w:t>
        </w:r>
        <w:proofErr w:type="spellEnd"/>
        <w:proofErr w:type="gramEnd"/>
        <w:r w:rsidR="00C55D5D" w:rsidRPr="00DF1D53">
          <w:rPr>
            <w:b/>
            <w:bCs/>
            <w:u w:val="single"/>
          </w:rPr>
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</w:t>
        </w:r>
      </w:hyperlink>
      <w:r>
        <w:rPr>
          <w:b/>
          <w:bCs/>
          <w:u w:val="single"/>
        </w:rPr>
        <w:t>.</w:t>
      </w:r>
    </w:p>
    <w:p w:rsidR="00C55D5D" w:rsidRDefault="00C55D5D" w:rsidP="00C55D5D">
      <w:pPr>
        <w:spacing w:before="100" w:beforeAutospacing="1" w:after="100" w:afterAutospacing="1"/>
      </w:pPr>
      <w:r w:rsidRPr="00C55D5D">
        <w:t>Зарегистрирова</w:t>
      </w:r>
      <w:r>
        <w:t>но в Минюсте России 28.05.2015 №</w:t>
      </w:r>
      <w:r w:rsidRPr="00C55D5D">
        <w:t xml:space="preserve"> 37413.</w:t>
      </w:r>
    </w:p>
    <w:p w:rsidR="00722A81" w:rsidRPr="00C55D5D" w:rsidRDefault="00722A81" w:rsidP="00C55D5D">
      <w:pPr>
        <w:spacing w:before="100" w:beforeAutospacing="1" w:after="100" w:afterAutospacing="1"/>
      </w:pPr>
      <w:r>
        <w:t>Опубликовано 08.06.2015</w:t>
      </w:r>
      <w:r w:rsidR="008F5D94">
        <w:t xml:space="preserve"> г.</w:t>
      </w:r>
    </w:p>
    <w:p w:rsidR="00253D60" w:rsidRPr="00253D60" w:rsidRDefault="00253D60" w:rsidP="00253D60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3D60">
        <w:rPr>
          <w:b/>
          <w:bCs/>
          <w:kern w:val="36"/>
        </w:rPr>
        <w:t xml:space="preserve">Обновлена форма платежного документа для внесения платы за содержание и ремонт жилого </w:t>
      </w:r>
      <w:proofErr w:type="gramStart"/>
      <w:r w:rsidRPr="00253D60">
        <w:rPr>
          <w:b/>
          <w:bCs/>
          <w:kern w:val="36"/>
        </w:rPr>
        <w:t>помещения</w:t>
      </w:r>
      <w:proofErr w:type="gramEnd"/>
      <w:r w:rsidRPr="00253D60">
        <w:rPr>
          <w:b/>
          <w:bCs/>
          <w:kern w:val="36"/>
        </w:rPr>
        <w:t xml:space="preserve"> и предоставление коммунальных услуг</w:t>
      </w:r>
    </w:p>
    <w:p w:rsidR="00253D60" w:rsidRPr="00253D60" w:rsidRDefault="00253D60" w:rsidP="00253D60">
      <w:pPr>
        <w:spacing w:before="100" w:beforeAutospacing="1" w:after="100" w:afterAutospacing="1"/>
      </w:pPr>
      <w:r w:rsidRPr="00253D60">
        <w:t xml:space="preserve">В нее включены 2 </w:t>
      </w:r>
      <w:proofErr w:type="gramStart"/>
      <w:r w:rsidRPr="00253D60">
        <w:t>новых</w:t>
      </w:r>
      <w:proofErr w:type="gramEnd"/>
      <w:r w:rsidRPr="00253D60">
        <w:t xml:space="preserve"> раздела - "Расчет размера взноса на капитальный ремонт" и "Информация для внесения взноса на капитальный ремонт". Кроме того, добавлена строка "Контактные данные органа государственного жилищного надзора субъекта РФ, номер телефона, часы приема".</w:t>
      </w:r>
    </w:p>
    <w:p w:rsidR="00253D60" w:rsidRPr="00253D60" w:rsidRDefault="00253D60" w:rsidP="00253D60">
      <w:pPr>
        <w:spacing w:before="100" w:beforeAutospacing="1" w:after="100" w:afterAutospacing="1"/>
      </w:pPr>
      <w:r w:rsidRPr="00253D60">
        <w:t>Также утверждены Методические рекомендации по заполнению обновленной формы, содержащие порядок заполнения, в том числе новых разделов.</w:t>
      </w:r>
    </w:p>
    <w:p w:rsidR="00253D60" w:rsidRPr="00253D60" w:rsidRDefault="00253D60" w:rsidP="00253D60">
      <w:pPr>
        <w:spacing w:before="100" w:beforeAutospacing="1" w:after="100" w:afterAutospacing="1"/>
      </w:pPr>
      <w:r w:rsidRPr="00253D60">
        <w:t xml:space="preserve">Признан не подлежащим применению Приказ </w:t>
      </w:r>
      <w:proofErr w:type="spellStart"/>
      <w:r w:rsidRPr="00253D60">
        <w:t>Минрегиона</w:t>
      </w:r>
      <w:proofErr w:type="spellEnd"/>
      <w:r w:rsidRPr="00253D60">
        <w:t xml:space="preserve"> России от 19.09.2011 </w:t>
      </w:r>
      <w:r w:rsidR="00C55D5D">
        <w:t>№</w:t>
      </w:r>
      <w:r w:rsidRPr="00253D60">
        <w:t xml:space="preserve"> 454.</w:t>
      </w:r>
    </w:p>
    <w:p w:rsidR="00722A81" w:rsidRDefault="00253D60" w:rsidP="00DF1D53">
      <w:pPr>
        <w:spacing w:before="100" w:beforeAutospacing="1" w:after="100" w:afterAutospacing="1"/>
        <w:rPr>
          <w:color w:val="0000FF"/>
          <w:u w:val="single"/>
        </w:rPr>
      </w:pPr>
      <w:r w:rsidRPr="00253D60">
        <w:t> </w:t>
      </w:r>
      <w:hyperlink r:id="rId11" w:history="1">
        <w:r w:rsidRPr="00253D60">
          <w:rPr>
            <w:color w:val="0000FF"/>
            <w:u w:val="single"/>
          </w:rPr>
          <w:t>http://www.consultant.ru/law/hotdocs/43261.html</w:t>
        </w:r>
      </w:hyperlink>
    </w:p>
    <w:p w:rsidR="00671ACC" w:rsidRDefault="00722A81" w:rsidP="00DF1D53">
      <w:pPr>
        <w:spacing w:before="100" w:beforeAutospacing="1" w:after="100" w:afterAutospacing="1"/>
      </w:pPr>
      <w:r w:rsidRPr="00722A81">
        <w:t>http://www.rg.ru/2015/06/08/platezhka-dok.html</w:t>
      </w:r>
      <w:r w:rsidR="00253D60" w:rsidRPr="00253D60">
        <w:br/>
      </w:r>
      <w:r w:rsidR="00A35533">
        <w:t>_____________________________________________________________________________</w:t>
      </w:r>
    </w:p>
    <w:p w:rsidR="00C55D5D" w:rsidRDefault="00C55D5D" w:rsidP="00A35533">
      <w:pPr>
        <w:ind w:firstLine="567"/>
        <w:jc w:val="both"/>
        <w:rPr>
          <w:i/>
          <w:iCs/>
        </w:rPr>
      </w:pPr>
    </w:p>
    <w:p w:rsidR="00177A51" w:rsidRPr="00DF1D53" w:rsidRDefault="00DF1D53" w:rsidP="00A35533">
      <w:pPr>
        <w:ind w:firstLine="567"/>
        <w:jc w:val="both"/>
        <w:rPr>
          <w:b/>
          <w:iCs/>
          <w:u w:val="single"/>
        </w:rPr>
      </w:pPr>
      <w:r>
        <w:rPr>
          <w:b/>
          <w:iCs/>
        </w:rPr>
        <w:t xml:space="preserve">4. </w:t>
      </w:r>
      <w:r w:rsidR="00A35533" w:rsidRPr="00DF1D53">
        <w:rPr>
          <w:b/>
          <w:iCs/>
          <w:u w:val="single"/>
        </w:rPr>
        <w:t>Постановление</w:t>
      </w:r>
      <w:r w:rsidR="00177A51" w:rsidRPr="00DF1D53">
        <w:rPr>
          <w:b/>
          <w:iCs/>
          <w:u w:val="single"/>
        </w:rPr>
        <w:t xml:space="preserve"> Правительства Российской Федерации</w:t>
      </w:r>
      <w:r w:rsidR="00A35533" w:rsidRPr="00DF1D53">
        <w:rPr>
          <w:b/>
          <w:iCs/>
          <w:u w:val="single"/>
        </w:rPr>
        <w:t xml:space="preserve"> от 29 мая 2015 года №525. </w:t>
      </w:r>
      <w:r w:rsidR="00177A51" w:rsidRPr="00DF1D53">
        <w:rPr>
          <w:b/>
          <w:iCs/>
          <w:u w:val="single"/>
        </w:rPr>
        <w:t>«</w:t>
      </w:r>
      <w:r w:rsidR="00177A51" w:rsidRPr="00DF1D53">
        <w:rPr>
          <w:b/>
          <w:u w:val="single"/>
        </w:rPr>
        <w:t>О внесении изменений в некоторые акты Правительства Российской Федерации».</w:t>
      </w:r>
    </w:p>
    <w:p w:rsidR="00177A51" w:rsidRDefault="00177A51" w:rsidP="00A35533">
      <w:pPr>
        <w:ind w:firstLine="567"/>
        <w:jc w:val="both"/>
        <w:rPr>
          <w:i/>
          <w:iCs/>
        </w:rPr>
      </w:pPr>
    </w:p>
    <w:p w:rsidR="00A35533" w:rsidRPr="00A35533" w:rsidRDefault="00A35533" w:rsidP="00A35533">
      <w:pPr>
        <w:ind w:firstLine="567"/>
        <w:jc w:val="both"/>
      </w:pPr>
      <w:r w:rsidRPr="00A35533">
        <w:t>Внесено Минстроем России в соответствии с </w:t>
      </w:r>
      <w:hyperlink r:id="rId12" w:tgtFrame="_blank" w:history="1">
        <w:r w:rsidRPr="00A35533">
          <w:rPr>
            <w:rStyle w:val="a3"/>
          </w:rPr>
          <w:t>планом мероприятий («дорожной картой») «Совершенствование правового регулирования градостроительной деятельности и улучшение предпринимательского климата в сфере строительства»</w:t>
        </w:r>
      </w:hyperlink>
      <w:r w:rsidRPr="00A35533">
        <w:t> (утверждён распоряжением Правительства от 29 июля 2013 года №1336-р, далее – «дорожная карта»).</w:t>
      </w:r>
    </w:p>
    <w:p w:rsidR="00A35533" w:rsidRPr="00A35533" w:rsidRDefault="00A35533" w:rsidP="00A35533">
      <w:pPr>
        <w:ind w:firstLine="567"/>
        <w:jc w:val="both"/>
      </w:pPr>
      <w:r w:rsidRPr="00A35533">
        <w:t xml:space="preserve">Один из контрольных показателей реализации «дорожной карты» – позиция России в рейтинге Всемирного банка </w:t>
      </w:r>
      <w:proofErr w:type="spellStart"/>
      <w:r w:rsidRPr="00A35533">
        <w:t>Doing</w:t>
      </w:r>
      <w:proofErr w:type="spellEnd"/>
      <w:r w:rsidRPr="00A35533">
        <w:t xml:space="preserve"> </w:t>
      </w:r>
      <w:proofErr w:type="spellStart"/>
      <w:r w:rsidRPr="00A35533">
        <w:t>Business</w:t>
      </w:r>
      <w:proofErr w:type="spellEnd"/>
      <w:r w:rsidRPr="00A35533">
        <w:t xml:space="preserve"> по показателю «Получение разрешения на строительство». «Дорожной картой» предусмотрено достижение в 2015 году ключевых показателей:</w:t>
      </w:r>
    </w:p>
    <w:p w:rsidR="00A35533" w:rsidRPr="00A35533" w:rsidRDefault="00A35533" w:rsidP="00A35533">
      <w:pPr>
        <w:ind w:firstLine="567"/>
        <w:jc w:val="both"/>
      </w:pPr>
      <w:r w:rsidRPr="00A35533">
        <w:t>- количество процедур, необходимых для получения разрешения на строительство, – 15 процедур;</w:t>
      </w:r>
    </w:p>
    <w:p w:rsidR="00A35533" w:rsidRPr="00A35533" w:rsidRDefault="00A35533" w:rsidP="00A35533">
      <w:pPr>
        <w:ind w:firstLine="567"/>
        <w:jc w:val="both"/>
      </w:pPr>
      <w:r w:rsidRPr="00A35533">
        <w:lastRenderedPageBreak/>
        <w:t>- совокупное время прохождения всех процедур, необходимых для получения разрешения на строительство, – 130 дней.</w:t>
      </w:r>
    </w:p>
    <w:p w:rsidR="00A35533" w:rsidRPr="00A35533" w:rsidRDefault="00A35533" w:rsidP="00A35533">
      <w:pPr>
        <w:ind w:firstLine="567"/>
        <w:jc w:val="both"/>
      </w:pPr>
      <w:r w:rsidRPr="00A35533">
        <w:t>В целях достижения этих показателей подписанным постановлением внесены изменения в Правила организации коммерческого учёта воды, сточных вод (утверждены </w:t>
      </w:r>
      <w:hyperlink r:id="rId13" w:tgtFrame="_blank" w:history="1">
        <w:r w:rsidRPr="00A35533">
          <w:rPr>
            <w:rStyle w:val="a3"/>
          </w:rPr>
          <w:t>постановлением Правительства от 4 сентября 2013 года №776</w:t>
        </w:r>
      </w:hyperlink>
      <w:r w:rsidRPr="00A35533">
        <w:t>).</w:t>
      </w:r>
    </w:p>
    <w:p w:rsidR="00A35533" w:rsidRPr="00A35533" w:rsidRDefault="00A35533" w:rsidP="00A35533">
      <w:pPr>
        <w:ind w:firstLine="567"/>
        <w:jc w:val="both"/>
      </w:pPr>
      <w:r w:rsidRPr="00A35533">
        <w:t>Отменена необходимость согласования проектной документации на оборудование узла учёта воды, сточных вод с организацией, занимающейся водоснабжением и (или) водоотведением. Одновременно соответствующая процедура исключена из исчерпывающего перечня процедур в сфере жилищного строительства (</w:t>
      </w:r>
      <w:proofErr w:type="gramStart"/>
      <w:r w:rsidRPr="00A35533">
        <w:t>утверждён</w:t>
      </w:r>
      <w:proofErr w:type="gramEnd"/>
      <w:r w:rsidRPr="00A35533">
        <w:t> </w:t>
      </w:r>
      <w:hyperlink r:id="rId14" w:tgtFrame="_blank" w:history="1">
        <w:r w:rsidRPr="00A35533">
          <w:rPr>
            <w:rStyle w:val="a3"/>
          </w:rPr>
          <w:t>постановлением Правительства от 30 апреля 2014 года №403</w:t>
        </w:r>
      </w:hyperlink>
      <w:r w:rsidRPr="00A35533">
        <w:t>).</w:t>
      </w:r>
    </w:p>
    <w:p w:rsidR="00A35533" w:rsidRPr="00A35533" w:rsidRDefault="00A35533" w:rsidP="00A35533">
      <w:pPr>
        <w:ind w:firstLine="567"/>
        <w:jc w:val="both"/>
      </w:pPr>
      <w:r w:rsidRPr="00A35533">
        <w:t xml:space="preserve">Принятые решения направлены на снижение административных барьеров в строительстве и повышение позиции России в рейтинге Всемирного банка </w:t>
      </w:r>
      <w:proofErr w:type="spellStart"/>
      <w:r w:rsidRPr="00A35533">
        <w:t>Doing</w:t>
      </w:r>
      <w:proofErr w:type="spellEnd"/>
      <w:r w:rsidRPr="00A35533">
        <w:t xml:space="preserve"> </w:t>
      </w:r>
      <w:proofErr w:type="spellStart"/>
      <w:r w:rsidRPr="00A35533">
        <w:t>Business</w:t>
      </w:r>
      <w:proofErr w:type="spellEnd"/>
      <w:r w:rsidRPr="00A35533">
        <w:t xml:space="preserve"> по показателю «Получение разрешения на строительство».</w:t>
      </w:r>
    </w:p>
    <w:p w:rsidR="007D2254" w:rsidRDefault="007D2254" w:rsidP="00A35533">
      <w:pPr>
        <w:ind w:firstLine="567"/>
        <w:jc w:val="both"/>
      </w:pPr>
    </w:p>
    <w:p w:rsidR="00A35533" w:rsidRDefault="001026E0" w:rsidP="00A35533">
      <w:pPr>
        <w:ind w:firstLine="567"/>
        <w:jc w:val="both"/>
      </w:pPr>
      <w:hyperlink r:id="rId15" w:history="1">
        <w:r w:rsidR="007D2254" w:rsidRPr="004F68E3">
          <w:rPr>
            <w:rStyle w:val="a3"/>
          </w:rPr>
          <w:t>http://government.ru/docs/18314/</w:t>
        </w:r>
      </w:hyperlink>
    </w:p>
    <w:p w:rsidR="007D2254" w:rsidRDefault="007D2254" w:rsidP="007D2254">
      <w:pPr>
        <w:jc w:val="both"/>
      </w:pPr>
      <w:r>
        <w:t>____________________________________________________________________________</w:t>
      </w:r>
    </w:p>
    <w:sectPr w:rsidR="007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38D"/>
    <w:multiLevelType w:val="multilevel"/>
    <w:tmpl w:val="AF3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1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D3A55"/>
    <w:rsid w:val="000E5714"/>
    <w:rsid w:val="000F5775"/>
    <w:rsid w:val="000F6E19"/>
    <w:rsid w:val="000F748E"/>
    <w:rsid w:val="00101D05"/>
    <w:rsid w:val="001026E0"/>
    <w:rsid w:val="00111670"/>
    <w:rsid w:val="00122085"/>
    <w:rsid w:val="00145E23"/>
    <w:rsid w:val="00153396"/>
    <w:rsid w:val="00160AD4"/>
    <w:rsid w:val="00162502"/>
    <w:rsid w:val="001711C9"/>
    <w:rsid w:val="00177A51"/>
    <w:rsid w:val="00180B3D"/>
    <w:rsid w:val="001A1736"/>
    <w:rsid w:val="001D2E90"/>
    <w:rsid w:val="001F2803"/>
    <w:rsid w:val="0020563F"/>
    <w:rsid w:val="002119BF"/>
    <w:rsid w:val="00222EF7"/>
    <w:rsid w:val="00236061"/>
    <w:rsid w:val="00253D60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402212"/>
    <w:rsid w:val="00414EED"/>
    <w:rsid w:val="00425B2D"/>
    <w:rsid w:val="00430C93"/>
    <w:rsid w:val="00435A49"/>
    <w:rsid w:val="00455FCC"/>
    <w:rsid w:val="004F2135"/>
    <w:rsid w:val="004F504B"/>
    <w:rsid w:val="00522702"/>
    <w:rsid w:val="0055247B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1ACC"/>
    <w:rsid w:val="00672B08"/>
    <w:rsid w:val="00677EE6"/>
    <w:rsid w:val="006939DF"/>
    <w:rsid w:val="006C3B93"/>
    <w:rsid w:val="006D1348"/>
    <w:rsid w:val="006D1FCC"/>
    <w:rsid w:val="006D5D2C"/>
    <w:rsid w:val="006D67CD"/>
    <w:rsid w:val="006F673E"/>
    <w:rsid w:val="00722A81"/>
    <w:rsid w:val="00732FAF"/>
    <w:rsid w:val="007D2254"/>
    <w:rsid w:val="007F7F85"/>
    <w:rsid w:val="00814001"/>
    <w:rsid w:val="00844166"/>
    <w:rsid w:val="00863BCA"/>
    <w:rsid w:val="008A6651"/>
    <w:rsid w:val="008B1E23"/>
    <w:rsid w:val="008C3744"/>
    <w:rsid w:val="008D49B7"/>
    <w:rsid w:val="008D647B"/>
    <w:rsid w:val="008F369E"/>
    <w:rsid w:val="008F5D94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5AE8"/>
    <w:rsid w:val="00A35533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4496B"/>
    <w:rsid w:val="00C54F9D"/>
    <w:rsid w:val="00C55D5D"/>
    <w:rsid w:val="00C7708D"/>
    <w:rsid w:val="00C804B9"/>
    <w:rsid w:val="00C80670"/>
    <w:rsid w:val="00CB6D71"/>
    <w:rsid w:val="00CD33DC"/>
    <w:rsid w:val="00D11093"/>
    <w:rsid w:val="00D22451"/>
    <w:rsid w:val="00D2798E"/>
    <w:rsid w:val="00D34408"/>
    <w:rsid w:val="00D95649"/>
    <w:rsid w:val="00DB549A"/>
    <w:rsid w:val="00DC480F"/>
    <w:rsid w:val="00DE3CDE"/>
    <w:rsid w:val="00DF1D53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6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0266/" TargetMode="External"/><Relationship Id="rId13" Type="http://schemas.openxmlformats.org/officeDocument/2006/relationships/hyperlink" Target="http://government.ru/docs/43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law/hotdocs/43243.html" TargetMode="External"/><Relationship Id="rId12" Type="http://schemas.openxmlformats.org/officeDocument/2006/relationships/hyperlink" Target="http://government.ru/roadmaps/110/ev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0181/" TargetMode="External"/><Relationship Id="rId11" Type="http://schemas.openxmlformats.org/officeDocument/2006/relationships/hyperlink" Target="http://www.consultant.ru/law/hotdocs/4326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docs/18314/" TargetMode="External"/><Relationship Id="rId10" Type="http://schemas.openxmlformats.org/officeDocument/2006/relationships/hyperlink" Target="http://www.consultant.ru/document/cons_doc_LAW_1802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43265.html" TargetMode="External"/><Relationship Id="rId14" Type="http://schemas.openxmlformats.org/officeDocument/2006/relationships/hyperlink" Target="http://government.ru/docs/12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Виктория Геннадьевна Усачева</cp:lastModifiedBy>
  <cp:revision>14</cp:revision>
  <dcterms:created xsi:type="dcterms:W3CDTF">2015-06-02T00:32:00Z</dcterms:created>
  <dcterms:modified xsi:type="dcterms:W3CDTF">2015-06-08T01:15:00Z</dcterms:modified>
</cp:coreProperties>
</file>