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0BE" w:rsidRPr="00F66475" w:rsidRDefault="003100BE" w:rsidP="00242972">
      <w:pPr>
        <w:ind w:firstLine="567"/>
        <w:jc w:val="center"/>
        <w:rPr>
          <w:b/>
          <w:bCs/>
          <w:sz w:val="32"/>
          <w:szCs w:val="32"/>
        </w:rPr>
      </w:pPr>
      <w:r w:rsidRPr="00F66475">
        <w:rPr>
          <w:b/>
          <w:bCs/>
          <w:sz w:val="32"/>
          <w:szCs w:val="32"/>
        </w:rPr>
        <w:t>Обзор законодательства от 20.03.2015 года</w:t>
      </w:r>
    </w:p>
    <w:p w:rsidR="003100BE" w:rsidRDefault="003100BE" w:rsidP="00F07434">
      <w:pPr>
        <w:ind w:firstLine="567"/>
        <w:jc w:val="both"/>
        <w:rPr>
          <w:b/>
          <w:bCs/>
          <w:u w:val="single"/>
        </w:rPr>
      </w:pPr>
    </w:p>
    <w:p w:rsidR="00F07434" w:rsidRDefault="002B430D" w:rsidP="00F07434">
      <w:pPr>
        <w:ind w:firstLine="567"/>
        <w:jc w:val="both"/>
        <w:rPr>
          <w:b/>
          <w:u w:val="single"/>
        </w:rPr>
      </w:pPr>
      <w:r w:rsidRPr="00F07434">
        <w:rPr>
          <w:b/>
          <w:bCs/>
          <w:u w:val="single"/>
        </w:rPr>
        <w:t xml:space="preserve">1. </w:t>
      </w:r>
      <w:r w:rsidR="00F07434" w:rsidRPr="00F07434">
        <w:rPr>
          <w:b/>
          <w:u w:val="single"/>
        </w:rPr>
        <w:t>Постановление Правительства Российской Федерации от 13 марта 2015 г. № 216 г. Москва</w:t>
      </w:r>
      <w:r w:rsidR="00F07434">
        <w:rPr>
          <w:b/>
          <w:u w:val="single"/>
        </w:rPr>
        <w:t xml:space="preserve"> </w:t>
      </w:r>
      <w:r w:rsidR="00F07434" w:rsidRPr="00F07434">
        <w:rPr>
          <w:b/>
          <w:u w:val="single"/>
        </w:rPr>
        <w:t xml:space="preserve">"Об особенностях применения в 2015 году </w:t>
      </w:r>
      <w:proofErr w:type="gramStart"/>
      <w:r w:rsidR="00F07434" w:rsidRPr="00F07434">
        <w:rPr>
          <w:b/>
          <w:u w:val="single"/>
        </w:rPr>
        <w:t>Основ формирования индексов изменения размера платы граждан</w:t>
      </w:r>
      <w:proofErr w:type="gramEnd"/>
      <w:r w:rsidR="00F07434" w:rsidRPr="00F07434">
        <w:rPr>
          <w:b/>
          <w:u w:val="single"/>
        </w:rPr>
        <w:t xml:space="preserve"> за коммунальные услуги в Российской Федерации"</w:t>
      </w:r>
    </w:p>
    <w:p w:rsidR="005A22BF" w:rsidRDefault="005A22BF" w:rsidP="00F07434">
      <w:pPr>
        <w:ind w:firstLine="567"/>
        <w:jc w:val="both"/>
        <w:rPr>
          <w:b/>
          <w:u w:val="single"/>
        </w:rPr>
      </w:pPr>
    </w:p>
    <w:p w:rsidR="00F07434" w:rsidRDefault="003100BE" w:rsidP="00F07434">
      <w:pPr>
        <w:ind w:firstLine="567"/>
        <w:jc w:val="both"/>
        <w:rPr>
          <w:color w:val="FF0000"/>
        </w:rPr>
      </w:pPr>
      <w:r w:rsidRPr="003100BE">
        <w:rPr>
          <w:color w:val="FF0000"/>
        </w:rPr>
        <w:t>Опубликовано: 20 марта 2015 г</w:t>
      </w:r>
      <w:r w:rsidR="009559F3">
        <w:rPr>
          <w:color w:val="FF0000"/>
        </w:rPr>
        <w:t>.</w:t>
      </w:r>
    </w:p>
    <w:p w:rsidR="005A22BF" w:rsidRPr="003100BE" w:rsidRDefault="005A22BF" w:rsidP="00F07434">
      <w:pPr>
        <w:ind w:firstLine="567"/>
        <w:jc w:val="both"/>
        <w:rPr>
          <w:color w:val="FF0000"/>
        </w:rPr>
      </w:pPr>
    </w:p>
    <w:p w:rsidR="00F07434" w:rsidRPr="00F07434" w:rsidRDefault="00F07434" w:rsidP="00F07434">
      <w:pPr>
        <w:ind w:firstLine="567"/>
        <w:jc w:val="both"/>
        <w:rPr>
          <w:bCs/>
        </w:rPr>
      </w:pPr>
      <w:proofErr w:type="gramStart"/>
      <w:r>
        <w:rPr>
          <w:bCs/>
        </w:rPr>
        <w:t xml:space="preserve">Данным постановлением </w:t>
      </w:r>
      <w:r w:rsidRPr="00F07434">
        <w:rPr>
          <w:bCs/>
        </w:rPr>
        <w:t>предусмотрено, что в текущем году значения индексов изменения размера вносимой гражданами платы за коммунальные услуги в среднем по субъектам РФ или значени</w:t>
      </w:r>
      <w:r>
        <w:rPr>
          <w:bCs/>
        </w:rPr>
        <w:t>я</w:t>
      </w:r>
      <w:r w:rsidRPr="00F07434">
        <w:rPr>
          <w:bCs/>
        </w:rPr>
        <w:t xml:space="preserve"> предельно допустимых отклонений по отдельным муниципальным образованиям от величины указанных индексов по субъектам РФ могут быть уточнены Правительством РФ по представлению ФСТ России без соблюдения отдельных положений Основ формирования индексов изменения размера платы граж</w:t>
      </w:r>
      <w:r>
        <w:rPr>
          <w:bCs/>
        </w:rPr>
        <w:t>дан за коммунальные</w:t>
      </w:r>
      <w:proofErr w:type="gramEnd"/>
      <w:r>
        <w:rPr>
          <w:bCs/>
        </w:rPr>
        <w:t xml:space="preserve"> услуги в </w:t>
      </w:r>
      <w:r w:rsidR="003100BE" w:rsidRPr="00F07434">
        <w:rPr>
          <w:bCs/>
        </w:rPr>
        <w:t>Российской Федерации</w:t>
      </w:r>
      <w:r w:rsidR="003100BE">
        <w:rPr>
          <w:bCs/>
        </w:rPr>
        <w:t xml:space="preserve"> (далее-Основы),</w:t>
      </w:r>
      <w:r>
        <w:rPr>
          <w:bCs/>
        </w:rPr>
        <w:t xml:space="preserve"> (</w:t>
      </w:r>
      <w:r w:rsidR="003100BE">
        <w:rPr>
          <w:bCs/>
        </w:rPr>
        <w:t>таких как</w:t>
      </w:r>
      <w:r w:rsidRPr="00F07434">
        <w:rPr>
          <w:bCs/>
        </w:rPr>
        <w:t xml:space="preserve"> абзац пя</w:t>
      </w:r>
      <w:r w:rsidR="003100BE">
        <w:rPr>
          <w:bCs/>
        </w:rPr>
        <w:t>того пункта 12 и пункта 20 Основ).</w:t>
      </w:r>
      <w:r w:rsidRPr="00F07434">
        <w:rPr>
          <w:bCs/>
        </w:rPr>
        <w:t xml:space="preserve"> </w:t>
      </w:r>
    </w:p>
    <w:p w:rsidR="00F07434" w:rsidRDefault="003100BE" w:rsidP="00F07434">
      <w:pPr>
        <w:ind w:firstLine="567"/>
        <w:jc w:val="both"/>
        <w:rPr>
          <w:b/>
          <w:bCs/>
        </w:rPr>
      </w:pPr>
      <w:proofErr w:type="gramStart"/>
      <w:r>
        <w:rPr>
          <w:bCs/>
        </w:rPr>
        <w:t>Согласно Постановлению Правительства РФ от 13.03.2015 г. № 216 (далее - Постановление</w:t>
      </w:r>
      <w:r w:rsidRPr="003100BE">
        <w:rPr>
          <w:bCs/>
          <w:u w:val="single"/>
        </w:rPr>
        <w:t>), м</w:t>
      </w:r>
      <w:r w:rsidR="00F07434" w:rsidRPr="003100BE">
        <w:rPr>
          <w:bCs/>
          <w:u w:val="single"/>
        </w:rPr>
        <w:t>отивированное предложение высшего должностного лица субъекта РФ</w:t>
      </w:r>
      <w:r w:rsidR="00F07434" w:rsidRPr="003100BE">
        <w:rPr>
          <w:bCs/>
        </w:rPr>
        <w:t xml:space="preserve"> (руководи</w:t>
      </w:r>
      <w:r w:rsidR="00F07434" w:rsidRPr="00F07434">
        <w:rPr>
          <w:bCs/>
        </w:rPr>
        <w:t xml:space="preserve">теля высшего исполнительного органа государственной власти субъекта РФ) об изменении индекса по субъекту РФ или отклонения по субъекту РФ с приложением необходимых документов необходимо направить в ФСТ России в срок </w:t>
      </w:r>
      <w:r w:rsidR="00F07434" w:rsidRPr="00F07434">
        <w:rPr>
          <w:b/>
          <w:bCs/>
        </w:rPr>
        <w:t>не позднее 10 апреля 2015 года.</w:t>
      </w:r>
      <w:proofErr w:type="gramEnd"/>
    </w:p>
    <w:p w:rsidR="003100BE" w:rsidRDefault="003100BE" w:rsidP="003100BE">
      <w:pPr>
        <w:ind w:firstLine="567"/>
        <w:jc w:val="both"/>
        <w:rPr>
          <w:bCs/>
        </w:rPr>
      </w:pPr>
      <w:r w:rsidRPr="003100BE">
        <w:rPr>
          <w:bCs/>
        </w:rPr>
        <w:t xml:space="preserve">В Постановлении также устанавливается </w:t>
      </w:r>
      <w:r w:rsidRPr="003100BE">
        <w:rPr>
          <w:bCs/>
          <w:u w:val="single"/>
        </w:rPr>
        <w:t>перечень документов, прилагаемых к мотивированному предложению</w:t>
      </w:r>
      <w:r w:rsidRPr="003100BE">
        <w:rPr>
          <w:bCs/>
        </w:rPr>
        <w:t xml:space="preserve"> (оригиналы или копии,</w:t>
      </w:r>
      <w:r>
        <w:rPr>
          <w:bCs/>
        </w:rPr>
        <w:t xml:space="preserve"> заверенные надлежащим образом).</w:t>
      </w:r>
    </w:p>
    <w:p w:rsidR="003100BE" w:rsidRDefault="003100BE" w:rsidP="003100BE">
      <w:pPr>
        <w:ind w:firstLine="567"/>
        <w:jc w:val="both"/>
        <w:rPr>
          <w:bCs/>
        </w:rPr>
      </w:pPr>
    </w:p>
    <w:p w:rsidR="003100BE" w:rsidRDefault="00A6537C" w:rsidP="003100BE">
      <w:pPr>
        <w:jc w:val="both"/>
        <w:rPr>
          <w:bCs/>
        </w:rPr>
      </w:pPr>
      <w:hyperlink r:id="rId5" w:history="1">
        <w:r w:rsidR="003100BE" w:rsidRPr="00DD492B">
          <w:rPr>
            <w:rStyle w:val="a3"/>
            <w:bCs/>
          </w:rPr>
          <w:t>http://www.rg.ru/2015/03/20/komm-dok.html</w:t>
        </w:r>
      </w:hyperlink>
    </w:p>
    <w:p w:rsidR="003100BE" w:rsidRDefault="003100BE" w:rsidP="003100BE">
      <w:pPr>
        <w:ind w:firstLine="567"/>
        <w:jc w:val="both"/>
        <w:rPr>
          <w:bCs/>
        </w:rPr>
      </w:pPr>
    </w:p>
    <w:p w:rsidR="00F07434" w:rsidRDefault="003100BE" w:rsidP="003100BE">
      <w:pPr>
        <w:jc w:val="both"/>
        <w:rPr>
          <w:b/>
          <w:bCs/>
        </w:rPr>
      </w:pPr>
      <w:r>
        <w:rPr>
          <w:b/>
          <w:bCs/>
        </w:rPr>
        <w:t>_____________________________________________________________________________</w:t>
      </w:r>
    </w:p>
    <w:p w:rsidR="00F07434" w:rsidRDefault="00F07434" w:rsidP="00690429">
      <w:pPr>
        <w:ind w:firstLine="567"/>
        <w:jc w:val="both"/>
        <w:rPr>
          <w:b/>
          <w:bCs/>
        </w:rPr>
      </w:pPr>
    </w:p>
    <w:p w:rsidR="001D11F1" w:rsidRDefault="00F07434" w:rsidP="00690429">
      <w:pPr>
        <w:ind w:firstLine="567"/>
        <w:jc w:val="both"/>
        <w:rPr>
          <w:b/>
          <w:bCs/>
          <w:u w:val="single"/>
        </w:rPr>
      </w:pPr>
      <w:r w:rsidRPr="001D11F1">
        <w:rPr>
          <w:b/>
          <w:bCs/>
          <w:u w:val="single"/>
        </w:rPr>
        <w:t xml:space="preserve">2. </w:t>
      </w:r>
      <w:r w:rsidR="001D11F1" w:rsidRPr="001D11F1">
        <w:rPr>
          <w:b/>
          <w:bCs/>
          <w:u w:val="single"/>
        </w:rPr>
        <w:t xml:space="preserve">Письмо Минстроя России №7288-АЧ/04 </w:t>
      </w:r>
      <w:r w:rsidR="001D11F1" w:rsidRPr="001D11F1">
        <w:rPr>
          <w:b/>
          <w:bCs/>
          <w:color w:val="FF0000"/>
          <w:u w:val="single"/>
        </w:rPr>
        <w:t xml:space="preserve">от 18 марта 2015 года </w:t>
      </w:r>
      <w:r w:rsidR="001D11F1" w:rsidRPr="001D11F1">
        <w:rPr>
          <w:b/>
          <w:bCs/>
          <w:u w:val="single"/>
        </w:rPr>
        <w:t xml:space="preserve">«Об отдельных вопросах, возникающих в связи с применением повышающих коэффициентов к нормативам потребления коммунальных услуг». </w:t>
      </w:r>
    </w:p>
    <w:p w:rsidR="001D11F1" w:rsidRPr="001D11F1" w:rsidRDefault="001D11F1" w:rsidP="00690429">
      <w:pPr>
        <w:ind w:firstLine="567"/>
        <w:jc w:val="both"/>
        <w:rPr>
          <w:b/>
          <w:bCs/>
          <w:u w:val="single"/>
        </w:rPr>
      </w:pPr>
    </w:p>
    <w:p w:rsidR="001D11F1" w:rsidRPr="00955769" w:rsidRDefault="001D11F1" w:rsidP="00690429">
      <w:pPr>
        <w:ind w:firstLine="567"/>
        <w:jc w:val="both"/>
        <w:rPr>
          <w:bCs/>
        </w:rPr>
      </w:pPr>
      <w:r w:rsidRPr="00955769">
        <w:rPr>
          <w:bCs/>
        </w:rPr>
        <w:t>Содержит информацию по вопросам:</w:t>
      </w:r>
    </w:p>
    <w:p w:rsidR="001D11F1" w:rsidRPr="00955769" w:rsidRDefault="001D11F1" w:rsidP="00690429">
      <w:pPr>
        <w:ind w:firstLine="567"/>
        <w:jc w:val="both"/>
        <w:rPr>
          <w:bCs/>
        </w:rPr>
      </w:pPr>
      <w:r w:rsidRPr="00955769">
        <w:rPr>
          <w:bCs/>
        </w:rPr>
        <w:t>- расчета норматива потребления коммунальной услуги с учетом повышающего коэффициента;</w:t>
      </w:r>
    </w:p>
    <w:p w:rsidR="001D11F1" w:rsidRPr="00955769" w:rsidRDefault="001D11F1" w:rsidP="00690429">
      <w:pPr>
        <w:ind w:firstLine="567"/>
        <w:jc w:val="both"/>
        <w:rPr>
          <w:bCs/>
        </w:rPr>
      </w:pPr>
      <w:r w:rsidRPr="00955769">
        <w:rPr>
          <w:bCs/>
        </w:rPr>
        <w:t>- расчета нормативов потребления коммунальных услуг, рассчитанных с учетом повышающих коэффициентов;</w:t>
      </w:r>
    </w:p>
    <w:p w:rsidR="001D11F1" w:rsidRPr="00955769" w:rsidRDefault="001D11F1" w:rsidP="00690429">
      <w:pPr>
        <w:ind w:firstLine="567"/>
        <w:jc w:val="both"/>
        <w:rPr>
          <w:bCs/>
        </w:rPr>
      </w:pPr>
      <w:r w:rsidRPr="00955769">
        <w:rPr>
          <w:bCs/>
        </w:rPr>
        <w:t>-  применения подпункта «у</w:t>
      </w:r>
      <w:proofErr w:type="gramStart"/>
      <w:r w:rsidRPr="00955769">
        <w:rPr>
          <w:bCs/>
        </w:rPr>
        <w:t>1</w:t>
      </w:r>
      <w:proofErr w:type="gramEnd"/>
      <w:r w:rsidRPr="00955769">
        <w:rPr>
          <w:bCs/>
        </w:rPr>
        <w:t>» пункта 31 Правил 354;</w:t>
      </w:r>
    </w:p>
    <w:p w:rsidR="001D11F1" w:rsidRPr="00955769" w:rsidRDefault="001D11F1" w:rsidP="00690429">
      <w:pPr>
        <w:ind w:firstLine="567"/>
        <w:jc w:val="both"/>
        <w:rPr>
          <w:bCs/>
        </w:rPr>
      </w:pPr>
      <w:r w:rsidRPr="00955769">
        <w:rPr>
          <w:bCs/>
        </w:rPr>
        <w:t>- расчета платы за коммунальные услуги потребителям в нежилых помещениях;</w:t>
      </w:r>
    </w:p>
    <w:p w:rsidR="001D11F1" w:rsidRPr="00955769" w:rsidRDefault="001D11F1" w:rsidP="00690429">
      <w:pPr>
        <w:ind w:firstLine="567"/>
        <w:jc w:val="both"/>
        <w:rPr>
          <w:bCs/>
        </w:rPr>
      </w:pPr>
      <w:r w:rsidRPr="00955769">
        <w:rPr>
          <w:bCs/>
        </w:rPr>
        <w:t>- расчета размера платы за коммунальную услугу по водоотведению;</w:t>
      </w:r>
    </w:p>
    <w:p w:rsidR="001D11F1" w:rsidRDefault="001D11F1" w:rsidP="00690429">
      <w:pPr>
        <w:ind w:firstLine="567"/>
        <w:jc w:val="both"/>
        <w:rPr>
          <w:bCs/>
        </w:rPr>
      </w:pPr>
      <w:r w:rsidRPr="00955769">
        <w:rPr>
          <w:bCs/>
        </w:rPr>
        <w:t>- расчета размера платы за коммунальную услугу по отоплению</w:t>
      </w:r>
      <w:r w:rsidR="00955769">
        <w:rPr>
          <w:bCs/>
        </w:rPr>
        <w:t>.</w:t>
      </w:r>
    </w:p>
    <w:p w:rsidR="00955769" w:rsidRDefault="00955769" w:rsidP="00690429">
      <w:pPr>
        <w:ind w:firstLine="567"/>
        <w:jc w:val="both"/>
        <w:rPr>
          <w:bCs/>
        </w:rPr>
      </w:pPr>
    </w:p>
    <w:p w:rsidR="00955769" w:rsidRDefault="00955769" w:rsidP="00690429">
      <w:pPr>
        <w:ind w:firstLine="567"/>
        <w:jc w:val="both"/>
        <w:rPr>
          <w:bCs/>
        </w:rPr>
      </w:pPr>
      <w:hyperlink r:id="rId6" w:history="1">
        <w:r w:rsidRPr="00D7121C">
          <w:rPr>
            <w:rStyle w:val="a3"/>
            <w:bCs/>
          </w:rPr>
          <w:t>http://www.minstroyrf.ru/upload/iblock/a38/7288_ach04.pdf</w:t>
        </w:r>
      </w:hyperlink>
    </w:p>
    <w:p w:rsidR="001D11F1" w:rsidRDefault="00955769" w:rsidP="00955769">
      <w:pPr>
        <w:jc w:val="both"/>
        <w:rPr>
          <w:b/>
          <w:bCs/>
        </w:rPr>
      </w:pPr>
      <w:r>
        <w:rPr>
          <w:b/>
          <w:bCs/>
        </w:rPr>
        <w:t>_____________________________________________________________________________</w:t>
      </w:r>
    </w:p>
    <w:p w:rsidR="001D11F1" w:rsidRDefault="001D11F1" w:rsidP="00690429">
      <w:pPr>
        <w:ind w:firstLine="567"/>
        <w:jc w:val="both"/>
        <w:rPr>
          <w:b/>
          <w:bCs/>
        </w:rPr>
      </w:pPr>
    </w:p>
    <w:p w:rsidR="00F66475" w:rsidRDefault="00955769" w:rsidP="00955769">
      <w:pPr>
        <w:ind w:firstLine="567"/>
        <w:jc w:val="both"/>
        <w:rPr>
          <w:b/>
          <w:bCs/>
        </w:rPr>
      </w:pPr>
      <w:r>
        <w:rPr>
          <w:b/>
          <w:bCs/>
          <w:u w:val="single"/>
        </w:rPr>
        <w:t>3</w:t>
      </w:r>
      <w:r w:rsidR="00F66475" w:rsidRPr="00955769">
        <w:rPr>
          <w:b/>
          <w:bCs/>
          <w:u w:val="single"/>
        </w:rPr>
        <w:t xml:space="preserve">. </w:t>
      </w:r>
      <w:hyperlink r:id="rId7" w:history="1">
        <w:r w:rsidR="00F66475" w:rsidRPr="00955769">
          <w:rPr>
            <w:rStyle w:val="a3"/>
            <w:b/>
            <w:bCs/>
            <w:color w:val="auto"/>
          </w:rPr>
          <w:t>Постановление</w:t>
        </w:r>
      </w:hyperlink>
      <w:r w:rsidR="00F66475" w:rsidRPr="00F66475">
        <w:rPr>
          <w:b/>
          <w:bCs/>
        </w:rPr>
        <w:t xml:space="preserve"> Правительства РФ от 13.03.2015 N 219</w:t>
      </w:r>
      <w:r w:rsidR="00F66475">
        <w:rPr>
          <w:b/>
          <w:bCs/>
        </w:rPr>
        <w:t xml:space="preserve"> </w:t>
      </w:r>
      <w:r w:rsidR="00F66475" w:rsidRPr="00F66475">
        <w:rPr>
          <w:b/>
          <w:bCs/>
        </w:rPr>
        <w:t xml:space="preserve">"О внесении изменений в Правила технологического присоединения </w:t>
      </w:r>
      <w:proofErr w:type="spellStart"/>
      <w:r w:rsidR="00F66475" w:rsidRPr="00F66475">
        <w:rPr>
          <w:b/>
          <w:bCs/>
        </w:rPr>
        <w:t>энергопринимающих</w:t>
      </w:r>
      <w:proofErr w:type="spellEnd"/>
      <w:r w:rsidR="00F66475" w:rsidRPr="00F66475">
        <w:rPr>
          <w:b/>
          <w:bCs/>
        </w:rPr>
        <w:t xml:space="preserve"> устройств потребителей электрической энергии, объектов по производству </w:t>
      </w:r>
      <w:r w:rsidR="00F66475" w:rsidRPr="00F66475">
        <w:rPr>
          <w:b/>
          <w:bCs/>
        </w:rPr>
        <w:lastRenderedPageBreak/>
        <w:t>электрической энергии, а также объектов электросетевого хозяйства, принадлежащих сетевым организациям и иным лицам, к электрическим сетям"</w:t>
      </w:r>
      <w:r w:rsidR="00F66475">
        <w:rPr>
          <w:b/>
          <w:bCs/>
        </w:rPr>
        <w:t>.</w:t>
      </w:r>
    </w:p>
    <w:p w:rsidR="00F66475" w:rsidRPr="00F66475" w:rsidRDefault="00F66475" w:rsidP="00F66475">
      <w:pPr>
        <w:rPr>
          <w:bCs/>
        </w:rPr>
      </w:pPr>
    </w:p>
    <w:p w:rsidR="00F66475" w:rsidRPr="00F66475" w:rsidRDefault="00F66475" w:rsidP="00955769">
      <w:pPr>
        <w:ind w:firstLine="567"/>
        <w:rPr>
          <w:b/>
          <w:bCs/>
        </w:rPr>
      </w:pPr>
      <w:r w:rsidRPr="00F66475">
        <w:rPr>
          <w:bCs/>
        </w:rPr>
        <w:t>Начало действия документа</w:t>
      </w:r>
      <w:r w:rsidRPr="00F66475">
        <w:rPr>
          <w:b/>
          <w:bCs/>
        </w:rPr>
        <w:t xml:space="preserve"> - </w:t>
      </w:r>
      <w:hyperlink r:id="rId8" w:history="1">
        <w:r w:rsidRPr="00F66475">
          <w:rPr>
            <w:rStyle w:val="a3"/>
            <w:bCs/>
            <w:color w:val="FF0000"/>
          </w:rPr>
          <w:t>25.03.2015</w:t>
        </w:r>
      </w:hyperlink>
      <w:r w:rsidRPr="00F66475">
        <w:rPr>
          <w:bCs/>
          <w:color w:val="FF0000"/>
        </w:rPr>
        <w:t>.</w:t>
      </w:r>
    </w:p>
    <w:p w:rsidR="00F66475" w:rsidRDefault="00F66475" w:rsidP="00F66475">
      <w:pPr>
        <w:rPr>
          <w:b/>
          <w:bCs/>
        </w:rPr>
      </w:pPr>
    </w:p>
    <w:p w:rsidR="00F66475" w:rsidRPr="00F66475" w:rsidRDefault="00F66475" w:rsidP="00F66475">
      <w:pPr>
        <w:ind w:firstLine="567"/>
        <w:jc w:val="both"/>
        <w:rPr>
          <w:bCs/>
        </w:rPr>
      </w:pPr>
      <w:r>
        <w:rPr>
          <w:bCs/>
        </w:rPr>
        <w:t>Данным Постановлением у</w:t>
      </w:r>
      <w:r w:rsidRPr="00F66475">
        <w:rPr>
          <w:bCs/>
        </w:rPr>
        <w:t>точнен порядок подачи заявок на присоединение к электросетям от садоводческих, огороднических или дачных объединений, а также граждан, ведущих индивидуальное хозяйство на их территории</w:t>
      </w:r>
      <w:r>
        <w:rPr>
          <w:bCs/>
        </w:rPr>
        <w:t>.</w:t>
      </w:r>
    </w:p>
    <w:p w:rsidR="00F66475" w:rsidRPr="00F66475" w:rsidRDefault="00F66475" w:rsidP="00F66475">
      <w:pPr>
        <w:ind w:firstLine="567"/>
        <w:jc w:val="both"/>
        <w:rPr>
          <w:bCs/>
        </w:rPr>
      </w:pPr>
      <w:r w:rsidRPr="00F66475">
        <w:rPr>
          <w:bCs/>
        </w:rPr>
        <w:t>Определено, что в случае присоединения к электросетям садоводческого, огороднического или дачного некоммерческого объединения либо его членов, соответствующая заявка подается в сетевую организацию таким объединением либо его представителем.</w:t>
      </w:r>
    </w:p>
    <w:p w:rsidR="00F66475" w:rsidRPr="00F66475" w:rsidRDefault="00F66475" w:rsidP="00F66475">
      <w:pPr>
        <w:ind w:firstLine="567"/>
        <w:jc w:val="both"/>
        <w:rPr>
          <w:bCs/>
        </w:rPr>
      </w:pPr>
      <w:r w:rsidRPr="00F66475">
        <w:rPr>
          <w:bCs/>
        </w:rPr>
        <w:t>В случае присоединения к электросетям граждан, ведущих хозяйство в индивидуальном порядке на территории вышеуказанных объединений, а также иных лиц, расположенных на их территории, заявка подается в сетевую организацию непосредственно такими гражданами и лицами.</w:t>
      </w:r>
    </w:p>
    <w:p w:rsidR="00F66475" w:rsidRPr="00F66475" w:rsidRDefault="00F66475" w:rsidP="00F66475">
      <w:pPr>
        <w:ind w:firstLine="567"/>
        <w:jc w:val="both"/>
        <w:rPr>
          <w:bCs/>
        </w:rPr>
      </w:pPr>
      <w:r w:rsidRPr="00F66475">
        <w:rPr>
          <w:bCs/>
        </w:rPr>
        <w:t>Присоединение вышеуказанных граждан и лиц к сетям сетевой организации осуществляется непосредственно или с использованием объектов инфраструктуры и другого имущества общего пользования соответствующего объединения. В последнем случае такие граждане и лица заключают с этим объединением договор использования имущества общего пользования в соответствии с Федеральным законом "О садоводческих, огороднических и дачных некоммерческих объединениях граждан".</w:t>
      </w:r>
      <w:r>
        <w:rPr>
          <w:bCs/>
        </w:rPr>
        <w:t xml:space="preserve"> </w:t>
      </w:r>
      <w:r w:rsidRPr="00F66475">
        <w:rPr>
          <w:bCs/>
        </w:rPr>
        <w:t>При этом</w:t>
      </w:r>
      <w:proofErr w:type="gramStart"/>
      <w:r>
        <w:rPr>
          <w:bCs/>
        </w:rPr>
        <w:t>,</w:t>
      </w:r>
      <w:proofErr w:type="gramEnd"/>
      <w:r w:rsidRPr="00F66475">
        <w:rPr>
          <w:bCs/>
        </w:rPr>
        <w:t xml:space="preserve"> объединение не вправе препятствовать сетевой организации в осуществлении технологического присоединения таких граждан и лиц к электросетям.</w:t>
      </w:r>
    </w:p>
    <w:p w:rsidR="00F66475" w:rsidRDefault="00F66475" w:rsidP="00F66475">
      <w:pPr>
        <w:ind w:firstLine="567"/>
        <w:jc w:val="both"/>
        <w:rPr>
          <w:bCs/>
        </w:rPr>
      </w:pPr>
      <w:r w:rsidRPr="00F66475">
        <w:rPr>
          <w:bCs/>
        </w:rPr>
        <w:t>Утверждение данных положений направлено на исключение ситуации, при которой сетевая организация при технологическом присоединении прокладывает воздушную кабельную линию отдельно для каждого потребителя.</w:t>
      </w:r>
    </w:p>
    <w:p w:rsidR="009559F3" w:rsidRDefault="009559F3" w:rsidP="00F66475">
      <w:pPr>
        <w:ind w:firstLine="567"/>
        <w:jc w:val="both"/>
        <w:rPr>
          <w:bCs/>
        </w:rPr>
      </w:pPr>
    </w:p>
    <w:p w:rsidR="00F66475" w:rsidRDefault="00F66475" w:rsidP="00F66475">
      <w:pPr>
        <w:rPr>
          <w:b/>
          <w:bCs/>
        </w:rPr>
      </w:pPr>
    </w:p>
    <w:p w:rsidR="00F66475" w:rsidRPr="00F66475" w:rsidRDefault="00F66475" w:rsidP="00F66475">
      <w:pPr>
        <w:rPr>
          <w:bCs/>
          <w:color w:val="1628D8"/>
          <w:u w:val="single"/>
        </w:rPr>
      </w:pPr>
      <w:r w:rsidRPr="00F66475">
        <w:rPr>
          <w:bCs/>
          <w:color w:val="1628D8"/>
          <w:u w:val="single"/>
        </w:rPr>
        <w:t>http://www.pravo.gov.ru</w:t>
      </w:r>
    </w:p>
    <w:p w:rsidR="00F66475" w:rsidRDefault="00F66475" w:rsidP="00F66475">
      <w:pPr>
        <w:rPr>
          <w:b/>
          <w:bCs/>
        </w:rPr>
      </w:pPr>
    </w:p>
    <w:p w:rsidR="00F66475" w:rsidRDefault="00F66475" w:rsidP="00F66475">
      <w:pPr>
        <w:rPr>
          <w:b/>
          <w:bCs/>
        </w:rPr>
      </w:pPr>
      <w:r>
        <w:rPr>
          <w:b/>
          <w:bCs/>
        </w:rPr>
        <w:t>_____________________________________________________________________________</w:t>
      </w:r>
    </w:p>
    <w:p w:rsidR="00F07434" w:rsidRDefault="00F07434" w:rsidP="00690429">
      <w:pPr>
        <w:rPr>
          <w:b/>
          <w:bCs/>
        </w:rPr>
      </w:pPr>
    </w:p>
    <w:p w:rsidR="00690429" w:rsidRPr="00690429" w:rsidRDefault="00955769" w:rsidP="00955769">
      <w:pPr>
        <w:ind w:firstLine="567"/>
        <w:jc w:val="both"/>
        <w:rPr>
          <w:b/>
          <w:bCs/>
        </w:rPr>
      </w:pPr>
      <w:r>
        <w:rPr>
          <w:b/>
          <w:bCs/>
          <w:u w:val="single"/>
        </w:rPr>
        <w:t>4</w:t>
      </w:r>
      <w:r w:rsidR="00F07434" w:rsidRPr="00955769">
        <w:rPr>
          <w:b/>
          <w:bCs/>
          <w:u w:val="single"/>
        </w:rPr>
        <w:t>.</w:t>
      </w:r>
      <w:r w:rsidR="002B430D" w:rsidRPr="00955769">
        <w:rPr>
          <w:b/>
          <w:bCs/>
          <w:u w:val="single"/>
        </w:rPr>
        <w:t xml:space="preserve"> </w:t>
      </w:r>
      <w:hyperlink r:id="rId9" w:history="1">
        <w:r w:rsidR="00690429" w:rsidRPr="00955769">
          <w:rPr>
            <w:rStyle w:val="a3"/>
            <w:b/>
            <w:bCs/>
            <w:color w:val="auto"/>
          </w:rPr>
          <w:t>Постановление</w:t>
        </w:r>
      </w:hyperlink>
      <w:r w:rsidR="00690429" w:rsidRPr="00955769">
        <w:rPr>
          <w:b/>
          <w:bCs/>
          <w:u w:val="single"/>
        </w:rPr>
        <w:t xml:space="preserve"> </w:t>
      </w:r>
      <w:r w:rsidR="00F07434" w:rsidRPr="00955769">
        <w:rPr>
          <w:b/>
          <w:bCs/>
          <w:u w:val="single"/>
        </w:rPr>
        <w:t>Правительства</w:t>
      </w:r>
      <w:r w:rsidR="00F07434">
        <w:rPr>
          <w:b/>
          <w:bCs/>
        </w:rPr>
        <w:t xml:space="preserve"> РФ от 12.03.2015 №</w:t>
      </w:r>
      <w:r w:rsidR="00690429" w:rsidRPr="00690429">
        <w:rPr>
          <w:b/>
          <w:bCs/>
        </w:rPr>
        <w:t xml:space="preserve"> 213</w:t>
      </w:r>
      <w:r>
        <w:rPr>
          <w:b/>
          <w:bCs/>
        </w:rPr>
        <w:t xml:space="preserve"> </w:t>
      </w:r>
      <w:r w:rsidR="00690429" w:rsidRPr="00690429">
        <w:rPr>
          <w:b/>
          <w:bCs/>
        </w:rPr>
        <w:t>"О внесении изменений в некоторые акты Правительства Российской Федерации по вопросам выпуска и погашения государственных жилищных сертификатов,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w:t>
      </w:r>
      <w:r w:rsidR="00964300">
        <w:rPr>
          <w:b/>
          <w:bCs/>
        </w:rPr>
        <w:t>.</w:t>
      </w:r>
    </w:p>
    <w:p w:rsidR="00690429" w:rsidRDefault="00690429" w:rsidP="00690429">
      <w:pPr>
        <w:rPr>
          <w:bCs/>
        </w:rPr>
      </w:pPr>
    </w:p>
    <w:p w:rsidR="00690429" w:rsidRPr="00690429" w:rsidRDefault="00690429" w:rsidP="00690429">
      <w:pPr>
        <w:rPr>
          <w:bCs/>
        </w:rPr>
      </w:pPr>
      <w:r w:rsidRPr="00690429">
        <w:rPr>
          <w:bCs/>
        </w:rPr>
        <w:t xml:space="preserve">Документ не </w:t>
      </w:r>
      <w:r>
        <w:rPr>
          <w:bCs/>
        </w:rPr>
        <w:t>вступил в силу</w:t>
      </w:r>
      <w:r w:rsidRPr="00690429">
        <w:rPr>
          <w:bCs/>
        </w:rPr>
        <w:t xml:space="preserve">. </w:t>
      </w:r>
    </w:p>
    <w:p w:rsidR="00690429" w:rsidRPr="00690429" w:rsidRDefault="00A6537C" w:rsidP="00690429">
      <w:pPr>
        <w:rPr>
          <w:bCs/>
        </w:rPr>
      </w:pPr>
      <w:hyperlink r:id="rId10" w:history="1">
        <w:r w:rsidR="00690429" w:rsidRPr="005A22BF">
          <w:rPr>
            <w:rStyle w:val="a3"/>
            <w:bCs/>
            <w:color w:val="auto"/>
            <w:u w:val="none"/>
          </w:rPr>
          <w:t>Вступает</w:t>
        </w:r>
      </w:hyperlink>
      <w:r w:rsidR="00690429" w:rsidRPr="00690429">
        <w:rPr>
          <w:bCs/>
        </w:rPr>
        <w:t xml:space="preserve"> в силу по истечении 7 дней после дня официального опубликования</w:t>
      </w:r>
      <w:r w:rsidR="002B430D">
        <w:rPr>
          <w:bCs/>
        </w:rPr>
        <w:t xml:space="preserve"> </w:t>
      </w:r>
      <w:r w:rsidR="002B430D" w:rsidRPr="00EA0F24">
        <w:rPr>
          <w:bCs/>
          <w:color w:val="FF0000"/>
        </w:rPr>
        <w:t>(</w:t>
      </w:r>
      <w:proofErr w:type="gramStart"/>
      <w:r w:rsidR="002B430D" w:rsidRPr="00EA0F24">
        <w:rPr>
          <w:bCs/>
          <w:color w:val="FF0000"/>
        </w:rPr>
        <w:t>опубликован</w:t>
      </w:r>
      <w:proofErr w:type="gramEnd"/>
      <w:r w:rsidR="002B430D" w:rsidRPr="00EA0F24">
        <w:rPr>
          <w:bCs/>
          <w:color w:val="FF0000"/>
        </w:rPr>
        <w:t xml:space="preserve"> 16.03.2015)</w:t>
      </w:r>
    </w:p>
    <w:p w:rsidR="00690429" w:rsidRPr="00690429" w:rsidRDefault="00690429" w:rsidP="00690429">
      <w:pPr>
        <w:rPr>
          <w:b/>
          <w:bCs/>
        </w:rPr>
      </w:pPr>
    </w:p>
    <w:p w:rsidR="00690429" w:rsidRPr="00690429" w:rsidRDefault="00690429" w:rsidP="005A22BF">
      <w:pPr>
        <w:ind w:firstLine="567"/>
        <w:jc w:val="both"/>
        <w:rPr>
          <w:bCs/>
        </w:rPr>
      </w:pPr>
      <w:r w:rsidRPr="00690429">
        <w:rPr>
          <w:bCs/>
        </w:rPr>
        <w:t>Усовершенствована процедура выдачи государственных жилищных сертификатов гражданам, лишившимся жилья из-за ЧС или терактов, уточнено, что государственные жилищные сертификаты выдаются из расчета не более общей площади утраченного жилого помещения.</w:t>
      </w:r>
    </w:p>
    <w:p w:rsidR="00690429" w:rsidRPr="00690429" w:rsidRDefault="00690429" w:rsidP="00690429">
      <w:pPr>
        <w:ind w:firstLine="567"/>
        <w:jc w:val="both"/>
        <w:rPr>
          <w:bCs/>
        </w:rPr>
      </w:pPr>
      <w:r w:rsidRPr="00690429">
        <w:rPr>
          <w:bCs/>
        </w:rPr>
        <w:t xml:space="preserve">Государственные жилищные сертификаты выдаются гражданину, для которого и для всех </w:t>
      </w:r>
      <w:proofErr w:type="gramStart"/>
      <w:r w:rsidRPr="00690429">
        <w:rPr>
          <w:bCs/>
        </w:rPr>
        <w:t>членов</w:t>
      </w:r>
      <w:proofErr w:type="gramEnd"/>
      <w:r w:rsidRPr="00690429">
        <w:rPr>
          <w:bCs/>
        </w:rPr>
        <w:t xml:space="preserve"> семьи которого утраченное жилое помещение являлось единственным. К членам семьи гражданина относятся постоянно проживающие и зарегистрированные по месту жительства в утраченном жилом помещении на момент ЧС, стихийного бедствия, </w:t>
      </w:r>
      <w:r w:rsidRPr="00690429">
        <w:rPr>
          <w:bCs/>
        </w:rPr>
        <w:lastRenderedPageBreak/>
        <w:t xml:space="preserve">теракта или пресечения теракта правомерными действиями совместно с ним его супруг или супруга, а также дети (в том числе усыновленные), родители и усыновители этого </w:t>
      </w:r>
      <w:proofErr w:type="gramStart"/>
      <w:r w:rsidRPr="00690429">
        <w:rPr>
          <w:bCs/>
        </w:rPr>
        <w:t>гражданина</w:t>
      </w:r>
      <w:proofErr w:type="gramEnd"/>
      <w:r w:rsidRPr="00690429">
        <w:rPr>
          <w:bCs/>
        </w:rPr>
        <w:t xml:space="preserve"> и его внуки.</w:t>
      </w:r>
    </w:p>
    <w:p w:rsidR="00690429" w:rsidRPr="00690429" w:rsidRDefault="00690429" w:rsidP="00690429">
      <w:pPr>
        <w:ind w:firstLine="567"/>
        <w:jc w:val="both"/>
        <w:rPr>
          <w:bCs/>
        </w:rPr>
      </w:pPr>
      <w:r w:rsidRPr="00690429">
        <w:rPr>
          <w:bCs/>
        </w:rPr>
        <w:t>Уточнена процедура подготовки списка граждан, лишившихся жилого помещения. Утверждена форма такого списка. Установлено, что внесение изменений в утвержденный список путем включения в него дополнительных граждан или семей не допускается.</w:t>
      </w:r>
    </w:p>
    <w:p w:rsidR="00690429" w:rsidRDefault="00690429" w:rsidP="00690429">
      <w:pPr>
        <w:ind w:firstLine="567"/>
        <w:jc w:val="both"/>
        <w:rPr>
          <w:bCs/>
        </w:rPr>
      </w:pPr>
      <w:r w:rsidRPr="00690429">
        <w:rPr>
          <w:bCs/>
        </w:rPr>
        <w:t xml:space="preserve">С трех месяцев </w:t>
      </w:r>
      <w:r w:rsidRPr="00690429">
        <w:rPr>
          <w:bCs/>
          <w:u w:val="single"/>
        </w:rPr>
        <w:t>до одного месяца сокращен срок</w:t>
      </w:r>
      <w:r w:rsidRPr="00690429">
        <w:rPr>
          <w:bCs/>
        </w:rPr>
        <w:t>, в течение которого владельцу сертификата выделяется жилое помещение из имеющегося в распоряжении уполномоченного органа жилищного фонда.</w:t>
      </w:r>
    </w:p>
    <w:p w:rsidR="002B430D" w:rsidRDefault="002B430D" w:rsidP="00690429">
      <w:pPr>
        <w:ind w:firstLine="567"/>
        <w:jc w:val="both"/>
        <w:rPr>
          <w:bCs/>
        </w:rPr>
      </w:pPr>
    </w:p>
    <w:p w:rsidR="002B430D" w:rsidRPr="005A22BF" w:rsidRDefault="002B430D" w:rsidP="002B430D">
      <w:pPr>
        <w:jc w:val="both"/>
        <w:rPr>
          <w:bCs/>
          <w:color w:val="1628D8"/>
          <w:u w:val="single"/>
        </w:rPr>
      </w:pPr>
      <w:r w:rsidRPr="005A22BF">
        <w:rPr>
          <w:bCs/>
          <w:color w:val="1628D8"/>
          <w:u w:val="single"/>
        </w:rPr>
        <w:t>http://www.pravo.gov.ru</w:t>
      </w:r>
    </w:p>
    <w:p w:rsidR="002B430D" w:rsidRDefault="002B430D" w:rsidP="00690429">
      <w:pPr>
        <w:ind w:firstLine="567"/>
        <w:jc w:val="both"/>
        <w:rPr>
          <w:bCs/>
        </w:rPr>
      </w:pPr>
    </w:p>
    <w:p w:rsidR="00690429" w:rsidRDefault="00690429" w:rsidP="005A22BF">
      <w:pPr>
        <w:jc w:val="both"/>
        <w:rPr>
          <w:bCs/>
        </w:rPr>
      </w:pPr>
      <w:r>
        <w:rPr>
          <w:bCs/>
        </w:rPr>
        <w:t>_________________________________________________________________________</w:t>
      </w:r>
    </w:p>
    <w:p w:rsidR="00690429" w:rsidRPr="00690429" w:rsidRDefault="00690429" w:rsidP="00690429">
      <w:pPr>
        <w:ind w:firstLine="567"/>
        <w:jc w:val="both"/>
        <w:rPr>
          <w:bCs/>
        </w:rPr>
      </w:pPr>
    </w:p>
    <w:p w:rsidR="00955769" w:rsidRPr="00955769" w:rsidRDefault="00A6537C" w:rsidP="00955769">
      <w:pPr>
        <w:ind w:firstLine="567"/>
        <w:jc w:val="both"/>
        <w:rPr>
          <w:u w:val="single"/>
        </w:rPr>
      </w:pPr>
      <w:r>
        <w:rPr>
          <w:b/>
          <w:bCs/>
          <w:u w:val="single"/>
        </w:rPr>
        <w:t>5</w:t>
      </w:r>
      <w:r w:rsidR="00955769" w:rsidRPr="00955769">
        <w:rPr>
          <w:b/>
          <w:bCs/>
          <w:u w:val="single"/>
        </w:rPr>
        <w:t xml:space="preserve">. </w:t>
      </w:r>
      <w:hyperlink r:id="rId11" w:history="1">
        <w:r w:rsidR="00955769" w:rsidRPr="00955769">
          <w:rPr>
            <w:rStyle w:val="a3"/>
            <w:b/>
            <w:bCs/>
            <w:color w:val="auto"/>
          </w:rPr>
          <w:t xml:space="preserve">Информация Банка России </w:t>
        </w:r>
        <w:r w:rsidR="00955769" w:rsidRPr="00A6537C">
          <w:rPr>
            <w:rStyle w:val="a3"/>
            <w:b/>
            <w:bCs/>
            <w:color w:val="FF0000"/>
          </w:rPr>
          <w:t>от 13.03.2015</w:t>
        </w:r>
        <w:r w:rsidR="00955769" w:rsidRPr="00955769">
          <w:rPr>
            <w:rStyle w:val="a3"/>
            <w:b/>
            <w:bCs/>
            <w:color w:val="auto"/>
          </w:rPr>
          <w:t xml:space="preserve"> "О ключевой ставке Банка России"</w:t>
        </w:r>
      </w:hyperlink>
    </w:p>
    <w:p w:rsidR="00955769" w:rsidRDefault="00955769" w:rsidP="00955769">
      <w:pPr>
        <w:ind w:firstLine="567"/>
        <w:jc w:val="both"/>
        <w:rPr>
          <w:b/>
          <w:bCs/>
        </w:rPr>
      </w:pPr>
    </w:p>
    <w:p w:rsidR="00955769" w:rsidRPr="00955769" w:rsidRDefault="00955769" w:rsidP="00955769">
      <w:pPr>
        <w:ind w:firstLine="567"/>
        <w:jc w:val="both"/>
        <w:rPr>
          <w:b/>
          <w:bCs/>
        </w:rPr>
      </w:pPr>
      <w:r w:rsidRPr="00955769">
        <w:rPr>
          <w:b/>
          <w:bCs/>
        </w:rPr>
        <w:t xml:space="preserve">Банк России снижает ключевую ставку c 15,00% до 14,00% </w:t>
      </w:r>
      <w:proofErr w:type="gramStart"/>
      <w:r w:rsidRPr="00955769">
        <w:rPr>
          <w:b/>
          <w:bCs/>
        </w:rPr>
        <w:t>годовых</w:t>
      </w:r>
      <w:proofErr w:type="gramEnd"/>
      <w:r w:rsidRPr="00955769">
        <w:rPr>
          <w:b/>
          <w:bCs/>
        </w:rPr>
        <w:t>.</w:t>
      </w:r>
    </w:p>
    <w:p w:rsidR="00955769" w:rsidRPr="00955769" w:rsidRDefault="00955769" w:rsidP="00955769">
      <w:pPr>
        <w:ind w:firstLine="567"/>
        <w:jc w:val="both"/>
      </w:pPr>
      <w:r>
        <w:t>П</w:t>
      </w:r>
      <w:r w:rsidRPr="00955769">
        <w:t xml:space="preserve">ринятое решение будет способствовать снижению рисков значительного охлаждения экономики, при </w:t>
      </w:r>
      <w:proofErr w:type="gramStart"/>
      <w:r w:rsidRPr="00955769">
        <w:t>этом</w:t>
      </w:r>
      <w:proofErr w:type="gramEnd"/>
      <w:r w:rsidRPr="00955769">
        <w:t xml:space="preserve"> не создавая дополнительной угрозы усиления инфляционного давления. По прогнозу Банка России, проводимая денежно-кредитная политика и снижение экономической активности будут способствовать замедлению годовых темпов прироста потребительских цен до уровня около 9% через год (март 2016 года к марту 2015 года) и до целевого уровня 4% в 2017 году. По мере ослабления инфляционных рисков Банк России будет готов продолжить снижение ключевой ставки.</w:t>
      </w:r>
    </w:p>
    <w:p w:rsidR="00955769" w:rsidRPr="00955769" w:rsidRDefault="00955769" w:rsidP="00955769">
      <w:pPr>
        <w:ind w:firstLine="567"/>
        <w:jc w:val="both"/>
      </w:pPr>
      <w:r w:rsidRPr="00955769">
        <w:t>Следующее заседание Совета директоров Банка России, на котором будет рассматриваться вопрос об уровне ключевой ставки, запланировано на 30 апреля 2015 года.</w:t>
      </w:r>
    </w:p>
    <w:p w:rsidR="00955769" w:rsidRPr="00955769" w:rsidRDefault="00955769" w:rsidP="00955769">
      <w:pPr>
        <w:ind w:firstLine="567"/>
        <w:jc w:val="both"/>
      </w:pPr>
      <w:r w:rsidRPr="00955769">
        <w:t>В документе приводятся обновленные процентные ставки по основным операциям Банка России.</w:t>
      </w:r>
    </w:p>
    <w:p w:rsidR="00955769" w:rsidRPr="00955769" w:rsidRDefault="00955769" w:rsidP="00955769">
      <w:pPr>
        <w:ind w:firstLine="567"/>
        <w:jc w:val="both"/>
      </w:pPr>
      <w:r w:rsidRPr="00955769">
        <w:br/>
      </w:r>
      <w:r w:rsidRPr="00955769">
        <w:br/>
      </w:r>
      <w:hyperlink r:id="rId12" w:history="1">
        <w:r w:rsidRPr="00955769">
          <w:rPr>
            <w:rStyle w:val="a3"/>
          </w:rPr>
          <w:t>http://www.consultant.ru/law/hotdocs/41725.html</w:t>
        </w:r>
      </w:hyperlink>
    </w:p>
    <w:p w:rsidR="00955769" w:rsidRPr="00955769" w:rsidRDefault="00955769" w:rsidP="00955769">
      <w:pPr>
        <w:ind w:firstLine="567"/>
        <w:jc w:val="both"/>
      </w:pPr>
    </w:p>
    <w:p w:rsidR="00955769" w:rsidRPr="00955769" w:rsidRDefault="00955769" w:rsidP="00955769">
      <w:pPr>
        <w:jc w:val="both"/>
      </w:pPr>
      <w:r>
        <w:t>_____________________________________________________________________________</w:t>
      </w:r>
    </w:p>
    <w:p w:rsidR="00955769" w:rsidRPr="00955769" w:rsidRDefault="00955769" w:rsidP="00955769">
      <w:pPr>
        <w:ind w:firstLine="567"/>
        <w:jc w:val="both"/>
      </w:pPr>
      <w:r w:rsidRPr="00955769">
        <w:br/>
      </w:r>
    </w:p>
    <w:p w:rsidR="00955769" w:rsidRPr="00955769" w:rsidRDefault="00A6537C" w:rsidP="00955769">
      <w:pPr>
        <w:ind w:firstLine="567"/>
        <w:jc w:val="both"/>
        <w:rPr>
          <w:b/>
          <w:u w:val="single"/>
        </w:rPr>
      </w:pPr>
      <w:r>
        <w:rPr>
          <w:b/>
          <w:u w:val="single"/>
        </w:rPr>
        <w:t>6</w:t>
      </w:r>
      <w:r w:rsidR="00955769" w:rsidRPr="00955769">
        <w:rPr>
          <w:b/>
          <w:u w:val="single"/>
        </w:rPr>
        <w:t xml:space="preserve">. Приказ Минстроя России от </w:t>
      </w:r>
      <w:r w:rsidR="00955769" w:rsidRPr="00A6537C">
        <w:rPr>
          <w:b/>
          <w:color w:val="FF0000"/>
          <w:u w:val="single"/>
        </w:rPr>
        <w:t xml:space="preserve">27.02.2015 </w:t>
      </w:r>
      <w:r w:rsidR="00955769" w:rsidRPr="00955769">
        <w:rPr>
          <w:b/>
          <w:u w:val="single"/>
        </w:rPr>
        <w:t>N 138/</w:t>
      </w:r>
      <w:proofErr w:type="spellStart"/>
      <w:proofErr w:type="gramStart"/>
      <w:r w:rsidR="00955769" w:rsidRPr="00955769">
        <w:rPr>
          <w:b/>
          <w:u w:val="single"/>
        </w:rPr>
        <w:t>пр</w:t>
      </w:r>
      <w:proofErr w:type="spellEnd"/>
      <w:proofErr w:type="gramEnd"/>
      <w:r w:rsidR="00955769" w:rsidRPr="00955769">
        <w:rPr>
          <w:b/>
          <w:u w:val="single"/>
        </w:rPr>
        <w:t xml:space="preserve"> "Об утверждении Методических рекомендаций по применению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 декабря 2014 г. № 1521".</w:t>
      </w:r>
    </w:p>
    <w:p w:rsidR="00955769" w:rsidRPr="00955769" w:rsidRDefault="00955769" w:rsidP="00955769">
      <w:pPr>
        <w:ind w:firstLine="567"/>
        <w:jc w:val="both"/>
      </w:pPr>
    </w:p>
    <w:p w:rsidR="00955769" w:rsidRPr="00955769" w:rsidRDefault="00955769" w:rsidP="00955769">
      <w:pPr>
        <w:ind w:firstLine="567"/>
        <w:jc w:val="both"/>
      </w:pPr>
    </w:p>
    <w:p w:rsidR="00955769" w:rsidRPr="00955769" w:rsidRDefault="00955769" w:rsidP="00955769">
      <w:pPr>
        <w:ind w:firstLine="567"/>
        <w:jc w:val="both"/>
      </w:pPr>
      <w:r w:rsidRPr="00955769">
        <w:t>Положения данных методических рекомендаций рекомендуются для использования организациями и предприятиями, независимо от ведомственной принадлежности, форм собственности и источников финансирования строительства.</w:t>
      </w:r>
    </w:p>
    <w:p w:rsidR="00955769" w:rsidRPr="00955769" w:rsidRDefault="00955769" w:rsidP="00955769">
      <w:pPr>
        <w:ind w:firstLine="567"/>
        <w:jc w:val="both"/>
      </w:pPr>
    </w:p>
    <w:p w:rsidR="00955769" w:rsidRPr="00955769" w:rsidRDefault="00955769" w:rsidP="00955769">
      <w:pPr>
        <w:ind w:firstLine="567"/>
        <w:jc w:val="both"/>
      </w:pPr>
      <w:r w:rsidRPr="00955769">
        <w:t xml:space="preserve">В частности указывается, что положения документов в области стандартизации, включенные в названный перечень, не являются обязательными применительно к зданиям </w:t>
      </w:r>
      <w:r w:rsidRPr="00955769">
        <w:lastRenderedPageBreak/>
        <w:t>и сооружениям (вплоть до их реконструкции или капитального ремонта), введенным в эксплуатацию до 1 июля 2015 года.</w:t>
      </w:r>
    </w:p>
    <w:p w:rsidR="00955769" w:rsidRPr="00955769" w:rsidRDefault="00955769" w:rsidP="00955769">
      <w:pPr>
        <w:ind w:firstLine="567"/>
        <w:jc w:val="both"/>
      </w:pPr>
      <w:r w:rsidRPr="00955769">
        <w:t>В случае если положениями документов в области стандартизации, включенными в перечень, устанавливается требование прохождения при выполнении инженерных изысканий, осуществлении архитектурно-строительного проектирования, строительстве, эксплуатации, сносе объекта капитального строительства, административных процедур, не предусмотренных нормативными правовыми актами, такое требование документа в области стандартизации не применяется.</w:t>
      </w:r>
    </w:p>
    <w:p w:rsidR="00955769" w:rsidRPr="00955769" w:rsidRDefault="00955769" w:rsidP="00955769">
      <w:pPr>
        <w:ind w:firstLine="567"/>
        <w:jc w:val="both"/>
      </w:pPr>
      <w:r w:rsidRPr="00955769">
        <w:t>В случае если требование, содержащееся во включенном в перечень документе в области стандартизации, сформулировано в качестве рекомендательного, решение о выполнении такого требования принимается застройщиком (техническим заказчиком) или уполномоченным им лицом (исполнителем конкретного вида работ).</w:t>
      </w:r>
    </w:p>
    <w:p w:rsidR="00955769" w:rsidRPr="00955769" w:rsidRDefault="00955769" w:rsidP="00955769">
      <w:pPr>
        <w:ind w:firstLine="567"/>
        <w:jc w:val="both"/>
      </w:pPr>
      <w:r w:rsidRPr="00955769">
        <w:t>Документы в области стандартизации, на которые имеются ссылки в сводах правил и национальных стандартах, включенных в перечень, применяются на обязательной основе только в случае, если эти документы содержатся в перечне.</w:t>
      </w:r>
    </w:p>
    <w:p w:rsidR="00955769" w:rsidRPr="00955769" w:rsidRDefault="00955769" w:rsidP="00955769">
      <w:pPr>
        <w:ind w:firstLine="567"/>
        <w:jc w:val="both"/>
      </w:pPr>
      <w:proofErr w:type="gramStart"/>
      <w:r w:rsidRPr="00955769">
        <w:t>Со дня вступления в силу перечня (с 1 июля 2015 года) не включенные в перечень документы в области стандартизации, содержащие требования к зданиям и сооружениям (входящим в их состав сетям инженерно-технического обеспечения и системам инженерно-технического обеспечения), а также связанным со зданиями и с сооружениями процессам проектирования (включая изыскания), строительства, монтажа, наладки, эксплуатации и утилизации (сноса), применяются на добровольной основе.</w:t>
      </w:r>
      <w:proofErr w:type="gramEnd"/>
    </w:p>
    <w:p w:rsidR="00955769" w:rsidRPr="00955769" w:rsidRDefault="00955769" w:rsidP="00955769">
      <w:pPr>
        <w:ind w:firstLine="567"/>
        <w:jc w:val="both"/>
      </w:pPr>
      <w:r w:rsidRPr="00955769">
        <w:br/>
        <w:t xml:space="preserve"> Раскрывается понятие </w:t>
      </w:r>
      <w:r w:rsidRPr="00955769">
        <w:rPr>
          <w:u w:val="single"/>
        </w:rPr>
        <w:t>административной процедуры</w:t>
      </w:r>
      <w:r w:rsidRPr="00955769">
        <w:t>, указывается, что при их выполнении следует руководствоваться постановлением Правительства Российской Федерации от 30 апреля 2014 г. № 403 "Об исчерпывающем перечне процедур в сфере жилищного строительства".</w:t>
      </w:r>
    </w:p>
    <w:p w:rsidR="00955769" w:rsidRPr="00955769" w:rsidRDefault="00955769" w:rsidP="00955769">
      <w:pPr>
        <w:ind w:firstLine="567"/>
        <w:jc w:val="both"/>
      </w:pPr>
    </w:p>
    <w:p w:rsidR="00955769" w:rsidRPr="00955769" w:rsidRDefault="00955769" w:rsidP="00955769">
      <w:pPr>
        <w:ind w:firstLine="567"/>
        <w:jc w:val="both"/>
      </w:pPr>
      <w:r w:rsidRPr="00955769">
        <w:t xml:space="preserve"> Указаны случаи применения рекомендательных требований застройщиком (техническим заказчиком) или уполномоченным им лицом (исполнителем конкретного вида работ), а также случаи применения в обязательном порядке документов в области стандартизации.</w:t>
      </w:r>
    </w:p>
    <w:p w:rsidR="00955769" w:rsidRPr="00955769" w:rsidRDefault="00955769" w:rsidP="00955769">
      <w:pPr>
        <w:ind w:firstLine="567"/>
        <w:jc w:val="both"/>
      </w:pPr>
      <w:r w:rsidRPr="00955769">
        <w:t xml:space="preserve"> </w:t>
      </w:r>
    </w:p>
    <w:p w:rsidR="00955769" w:rsidRPr="00955769" w:rsidRDefault="00955769" w:rsidP="00955769">
      <w:pPr>
        <w:ind w:firstLine="567"/>
        <w:jc w:val="both"/>
      </w:pPr>
      <w:hyperlink r:id="rId13" w:history="1">
        <w:r w:rsidRPr="00955769">
          <w:rPr>
            <w:rStyle w:val="a3"/>
          </w:rPr>
          <w:t>http://base.consultant.ru/cons/cgi/online.cgi?req=doc;base=LAW;n=176611</w:t>
        </w:r>
      </w:hyperlink>
    </w:p>
    <w:p w:rsidR="00955769" w:rsidRPr="00955769" w:rsidRDefault="00955769" w:rsidP="00955769">
      <w:pPr>
        <w:jc w:val="both"/>
      </w:pPr>
      <w:r>
        <w:t>_____________________________________________________________________________</w:t>
      </w:r>
    </w:p>
    <w:p w:rsidR="00955769" w:rsidRPr="00955769" w:rsidRDefault="00955769" w:rsidP="00955769">
      <w:pPr>
        <w:ind w:firstLine="567"/>
        <w:jc w:val="both"/>
      </w:pPr>
    </w:p>
    <w:p w:rsidR="00955769" w:rsidRPr="00955769" w:rsidRDefault="00955769" w:rsidP="00955769">
      <w:pPr>
        <w:ind w:firstLine="567"/>
        <w:jc w:val="both"/>
      </w:pPr>
    </w:p>
    <w:p w:rsidR="00955769" w:rsidRPr="00955769" w:rsidRDefault="00A6537C" w:rsidP="00955769">
      <w:pPr>
        <w:ind w:firstLine="567"/>
        <w:jc w:val="both"/>
      </w:pPr>
      <w:r>
        <w:rPr>
          <w:b/>
          <w:bCs/>
          <w:u w:val="single"/>
        </w:rPr>
        <w:t>7</w:t>
      </w:r>
      <w:r w:rsidR="00955769" w:rsidRPr="00955769">
        <w:rPr>
          <w:b/>
          <w:bCs/>
          <w:u w:val="single"/>
        </w:rPr>
        <w:t xml:space="preserve">. </w:t>
      </w:r>
      <w:hyperlink r:id="rId14" w:history="1">
        <w:r w:rsidR="00955769" w:rsidRPr="00955769">
          <w:rPr>
            <w:rStyle w:val="a3"/>
            <w:b/>
            <w:bCs/>
            <w:color w:val="auto"/>
          </w:rPr>
          <w:t xml:space="preserve">&lt;Письмо&gt; </w:t>
        </w:r>
        <w:proofErr w:type="spellStart"/>
        <w:r w:rsidR="00955769" w:rsidRPr="00955769">
          <w:rPr>
            <w:rStyle w:val="a3"/>
            <w:b/>
            <w:bCs/>
            <w:color w:val="auto"/>
          </w:rPr>
          <w:t>Росприроднадзора</w:t>
        </w:r>
        <w:proofErr w:type="spellEnd"/>
        <w:r w:rsidR="00955769" w:rsidRPr="00955769">
          <w:rPr>
            <w:rStyle w:val="a3"/>
            <w:b/>
            <w:bCs/>
            <w:color w:val="auto"/>
          </w:rPr>
          <w:t xml:space="preserve"> от </w:t>
        </w:r>
        <w:r w:rsidR="00955769" w:rsidRPr="00A6537C">
          <w:rPr>
            <w:rStyle w:val="a3"/>
            <w:b/>
            <w:bCs/>
            <w:color w:val="FF0000"/>
          </w:rPr>
          <w:t xml:space="preserve">20.02.2015 </w:t>
        </w:r>
        <w:r w:rsidR="00955769" w:rsidRPr="00955769">
          <w:rPr>
            <w:rStyle w:val="a3"/>
            <w:b/>
            <w:bCs/>
            <w:color w:val="auto"/>
          </w:rPr>
          <w:t>N ОД-06-01-31/2606 "О плате за сбросы сточных вод"</w:t>
        </w:r>
      </w:hyperlink>
      <w:r w:rsidR="00955769" w:rsidRPr="00955769">
        <w:t xml:space="preserve">  - документ не носит нормативный характер, является разъяснением по конкретн</w:t>
      </w:r>
      <w:bookmarkStart w:id="0" w:name="_GoBack"/>
      <w:bookmarkEnd w:id="0"/>
      <w:r w:rsidR="00955769" w:rsidRPr="00955769">
        <w:t>ому запросу, актуален на дату издания.</w:t>
      </w:r>
    </w:p>
    <w:p w:rsidR="00955769" w:rsidRPr="00955769" w:rsidRDefault="00955769" w:rsidP="00955769">
      <w:pPr>
        <w:ind w:firstLine="567"/>
        <w:jc w:val="both"/>
      </w:pPr>
    </w:p>
    <w:p w:rsidR="00955769" w:rsidRPr="00955769" w:rsidRDefault="00955769" w:rsidP="00955769">
      <w:pPr>
        <w:ind w:firstLine="567"/>
        <w:jc w:val="both"/>
      </w:pPr>
    </w:p>
    <w:p w:rsidR="00955769" w:rsidRPr="00955769" w:rsidRDefault="00955769" w:rsidP="00955769">
      <w:pPr>
        <w:ind w:firstLine="567"/>
        <w:jc w:val="both"/>
        <w:rPr>
          <w:b/>
        </w:rPr>
      </w:pPr>
      <w:r w:rsidRPr="00955769">
        <w:rPr>
          <w:b/>
        </w:rPr>
        <w:t>С 1 июля 2015 года для абонентов централизованных систем водоотведения, подлежащих нормированию, изменяется порядок внесения платы за негативное воздействие на окружающую среду.</w:t>
      </w:r>
    </w:p>
    <w:p w:rsidR="00955769" w:rsidRPr="00955769" w:rsidRDefault="00955769" w:rsidP="00955769">
      <w:pPr>
        <w:ind w:firstLine="567"/>
        <w:jc w:val="both"/>
      </w:pPr>
    </w:p>
    <w:p w:rsidR="00955769" w:rsidRPr="00955769" w:rsidRDefault="00955769" w:rsidP="00955769">
      <w:pPr>
        <w:ind w:firstLine="567"/>
        <w:jc w:val="both"/>
      </w:pPr>
      <w:r w:rsidRPr="00955769">
        <w:br/>
      </w:r>
      <w:proofErr w:type="spellStart"/>
      <w:proofErr w:type="gramStart"/>
      <w:r w:rsidRPr="00955769">
        <w:t>Росприроднадзор</w:t>
      </w:r>
      <w:proofErr w:type="spellEnd"/>
      <w:r w:rsidRPr="00955769">
        <w:t xml:space="preserve"> информирует, что с 1 июля 2015 года абоненты централизованных систем водоотведения, подлежащие нормированию в соответствии с Постановлением Правительства РФ от 18.03.2013 N 230 "О категориях абонентов, для объектов которых устанавливаются нормативы допустимых сбросов загрязняющих веществ, иных веществ и микроорганизмов", будут вносить плату за негативное воздействие на окружающую среду </w:t>
      </w:r>
      <w:r w:rsidRPr="00955769">
        <w:lastRenderedPageBreak/>
        <w:t>напрямую в бюджеты бюджетной системы РФ, а не организациям водопроводно-коммунального хозяйства</w:t>
      </w:r>
      <w:proofErr w:type="gramEnd"/>
      <w:r w:rsidRPr="00955769">
        <w:t xml:space="preserve"> (</w:t>
      </w:r>
      <w:proofErr w:type="gramStart"/>
      <w:r w:rsidRPr="00955769">
        <w:t>ВКХ).</w:t>
      </w:r>
      <w:proofErr w:type="gramEnd"/>
    </w:p>
    <w:p w:rsidR="00955769" w:rsidRPr="00955769" w:rsidRDefault="00955769" w:rsidP="00955769">
      <w:pPr>
        <w:ind w:firstLine="567"/>
        <w:jc w:val="both"/>
      </w:pPr>
      <w:proofErr w:type="gramStart"/>
      <w:r w:rsidRPr="00955769">
        <w:t>Для абонентов, не нормируемых в соответствии с указанным Постановлением, органы исполнительной власти субъектов РФ самостоятельно определяют порядок взимания платы за сброс сточных вод в системы канализации населенных пунктов с абонентов, а денежные средства, взимаемые с абонентов за услуги по приему сточных вод и загрязняющих веществ в системы канализации населенных пунктов, используются организациями ВКХ при исчислении платы за негативное воздействие на</w:t>
      </w:r>
      <w:proofErr w:type="gramEnd"/>
      <w:r w:rsidRPr="00955769">
        <w:t xml:space="preserve"> окружающую среду в части сбросов загрязняющих веществ, иных веществ и микроорганизмов в водные объекты.</w:t>
      </w:r>
    </w:p>
    <w:p w:rsidR="00955769" w:rsidRPr="00955769" w:rsidRDefault="00955769" w:rsidP="00955769">
      <w:pPr>
        <w:ind w:firstLine="567"/>
        <w:jc w:val="both"/>
      </w:pPr>
      <w:r w:rsidRPr="00955769">
        <w:br/>
      </w:r>
      <w:r w:rsidRPr="00955769">
        <w:br/>
      </w:r>
      <w:hyperlink r:id="rId15" w:history="1">
        <w:r w:rsidRPr="00955769">
          <w:rPr>
            <w:rStyle w:val="a3"/>
          </w:rPr>
          <w:t>http://base.consultant.ru/cons/cgi/online.cgi?req=doc;base=LAW;n=176633</w:t>
        </w:r>
      </w:hyperlink>
    </w:p>
    <w:p w:rsidR="00955769" w:rsidRPr="00955769" w:rsidRDefault="00955769" w:rsidP="00955769">
      <w:pPr>
        <w:ind w:firstLine="567"/>
        <w:jc w:val="both"/>
      </w:pPr>
    </w:p>
    <w:p w:rsidR="00604BC9" w:rsidRPr="00690429" w:rsidRDefault="00604BC9" w:rsidP="00690429">
      <w:pPr>
        <w:ind w:firstLine="567"/>
        <w:jc w:val="both"/>
      </w:pPr>
    </w:p>
    <w:sectPr w:rsidR="00604BC9" w:rsidRPr="006904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7DB"/>
    <w:rsid w:val="0002018E"/>
    <w:rsid w:val="000451AC"/>
    <w:rsid w:val="00046F76"/>
    <w:rsid w:val="00052D51"/>
    <w:rsid w:val="00054720"/>
    <w:rsid w:val="00083B24"/>
    <w:rsid w:val="00096E5A"/>
    <w:rsid w:val="000A10E1"/>
    <w:rsid w:val="000B6025"/>
    <w:rsid w:val="000C3BC8"/>
    <w:rsid w:val="000E5714"/>
    <w:rsid w:val="000F5775"/>
    <w:rsid w:val="000F6E19"/>
    <w:rsid w:val="000F748E"/>
    <w:rsid w:val="00101D05"/>
    <w:rsid w:val="00122085"/>
    <w:rsid w:val="00145E23"/>
    <w:rsid w:val="00153396"/>
    <w:rsid w:val="00160AD4"/>
    <w:rsid w:val="00162502"/>
    <w:rsid w:val="001711C9"/>
    <w:rsid w:val="00180B3D"/>
    <w:rsid w:val="001A1736"/>
    <w:rsid w:val="001D11F1"/>
    <w:rsid w:val="001D2E90"/>
    <w:rsid w:val="001F2803"/>
    <w:rsid w:val="0020563F"/>
    <w:rsid w:val="002119BF"/>
    <w:rsid w:val="00222EF7"/>
    <w:rsid w:val="00236061"/>
    <w:rsid w:val="00242972"/>
    <w:rsid w:val="002620AF"/>
    <w:rsid w:val="002726B8"/>
    <w:rsid w:val="00276074"/>
    <w:rsid w:val="00276FD9"/>
    <w:rsid w:val="002953F4"/>
    <w:rsid w:val="002A1495"/>
    <w:rsid w:val="002B430D"/>
    <w:rsid w:val="002C4B83"/>
    <w:rsid w:val="002E6CD0"/>
    <w:rsid w:val="002F7BCC"/>
    <w:rsid w:val="00306185"/>
    <w:rsid w:val="00307C79"/>
    <w:rsid w:val="003100BE"/>
    <w:rsid w:val="00325A6B"/>
    <w:rsid w:val="00331FA4"/>
    <w:rsid w:val="00334742"/>
    <w:rsid w:val="003474BC"/>
    <w:rsid w:val="0035457F"/>
    <w:rsid w:val="0037459A"/>
    <w:rsid w:val="003948D8"/>
    <w:rsid w:val="003C0E14"/>
    <w:rsid w:val="00402212"/>
    <w:rsid w:val="00414EED"/>
    <w:rsid w:val="00425B2D"/>
    <w:rsid w:val="00430C93"/>
    <w:rsid w:val="00435A49"/>
    <w:rsid w:val="00455FCC"/>
    <w:rsid w:val="004F2135"/>
    <w:rsid w:val="004F504B"/>
    <w:rsid w:val="00522702"/>
    <w:rsid w:val="0055247B"/>
    <w:rsid w:val="005A15BA"/>
    <w:rsid w:val="005A22BF"/>
    <w:rsid w:val="005C21F1"/>
    <w:rsid w:val="005D4C1C"/>
    <w:rsid w:val="005E47DB"/>
    <w:rsid w:val="0060023D"/>
    <w:rsid w:val="0060486F"/>
    <w:rsid w:val="00604BC9"/>
    <w:rsid w:val="00611235"/>
    <w:rsid w:val="00612BDC"/>
    <w:rsid w:val="00626056"/>
    <w:rsid w:val="006548DE"/>
    <w:rsid w:val="00656165"/>
    <w:rsid w:val="00672B08"/>
    <w:rsid w:val="00677EE6"/>
    <w:rsid w:val="00690429"/>
    <w:rsid w:val="006939DF"/>
    <w:rsid w:val="006C3B93"/>
    <w:rsid w:val="006D1348"/>
    <w:rsid w:val="006D1FCC"/>
    <w:rsid w:val="006D5D2C"/>
    <w:rsid w:val="006D67CD"/>
    <w:rsid w:val="006F673E"/>
    <w:rsid w:val="00732FAF"/>
    <w:rsid w:val="007F7F85"/>
    <w:rsid w:val="00814001"/>
    <w:rsid w:val="00844166"/>
    <w:rsid w:val="00863BCA"/>
    <w:rsid w:val="008B1E23"/>
    <w:rsid w:val="008C3744"/>
    <w:rsid w:val="008D49B7"/>
    <w:rsid w:val="008D647B"/>
    <w:rsid w:val="008F369E"/>
    <w:rsid w:val="0091641D"/>
    <w:rsid w:val="009217B1"/>
    <w:rsid w:val="0092295E"/>
    <w:rsid w:val="00953C14"/>
    <w:rsid w:val="00955769"/>
    <w:rsid w:val="009559F3"/>
    <w:rsid w:val="00964300"/>
    <w:rsid w:val="00966FF9"/>
    <w:rsid w:val="009A1E95"/>
    <w:rsid w:val="009D129E"/>
    <w:rsid w:val="009D4B67"/>
    <w:rsid w:val="009F3F61"/>
    <w:rsid w:val="009F55AF"/>
    <w:rsid w:val="00A15AE8"/>
    <w:rsid w:val="00A35901"/>
    <w:rsid w:val="00A620C2"/>
    <w:rsid w:val="00A6537C"/>
    <w:rsid w:val="00A70966"/>
    <w:rsid w:val="00AB38BC"/>
    <w:rsid w:val="00AB7C79"/>
    <w:rsid w:val="00AC4362"/>
    <w:rsid w:val="00AD1B04"/>
    <w:rsid w:val="00AE1D98"/>
    <w:rsid w:val="00AF370D"/>
    <w:rsid w:val="00AF3FC2"/>
    <w:rsid w:val="00B03FF1"/>
    <w:rsid w:val="00B249F0"/>
    <w:rsid w:val="00B35578"/>
    <w:rsid w:val="00B628BF"/>
    <w:rsid w:val="00B66341"/>
    <w:rsid w:val="00B936B1"/>
    <w:rsid w:val="00BB62D4"/>
    <w:rsid w:val="00BE433B"/>
    <w:rsid w:val="00BE7EFB"/>
    <w:rsid w:val="00BF22A5"/>
    <w:rsid w:val="00C0557B"/>
    <w:rsid w:val="00C4496B"/>
    <w:rsid w:val="00C54F9D"/>
    <w:rsid w:val="00C7708D"/>
    <w:rsid w:val="00C804B9"/>
    <w:rsid w:val="00C80670"/>
    <w:rsid w:val="00CB6D71"/>
    <w:rsid w:val="00CD33DC"/>
    <w:rsid w:val="00D11093"/>
    <w:rsid w:val="00D22451"/>
    <w:rsid w:val="00D2798E"/>
    <w:rsid w:val="00D34408"/>
    <w:rsid w:val="00D95649"/>
    <w:rsid w:val="00DB549A"/>
    <w:rsid w:val="00DC480F"/>
    <w:rsid w:val="00DF7B43"/>
    <w:rsid w:val="00E03E83"/>
    <w:rsid w:val="00E1374B"/>
    <w:rsid w:val="00E1534B"/>
    <w:rsid w:val="00E349BA"/>
    <w:rsid w:val="00E478B0"/>
    <w:rsid w:val="00E508D7"/>
    <w:rsid w:val="00E61C6F"/>
    <w:rsid w:val="00E63A64"/>
    <w:rsid w:val="00E92DA1"/>
    <w:rsid w:val="00E974F6"/>
    <w:rsid w:val="00EA0F24"/>
    <w:rsid w:val="00EB77B4"/>
    <w:rsid w:val="00ED1F22"/>
    <w:rsid w:val="00ED3F7B"/>
    <w:rsid w:val="00ED5FBA"/>
    <w:rsid w:val="00EF394C"/>
    <w:rsid w:val="00F07434"/>
    <w:rsid w:val="00F25164"/>
    <w:rsid w:val="00F2527E"/>
    <w:rsid w:val="00F37826"/>
    <w:rsid w:val="00F5222A"/>
    <w:rsid w:val="00F63683"/>
    <w:rsid w:val="00F66475"/>
    <w:rsid w:val="00F821A0"/>
    <w:rsid w:val="00F87663"/>
    <w:rsid w:val="00F92D65"/>
    <w:rsid w:val="00FA1E49"/>
    <w:rsid w:val="00FC0A5D"/>
    <w:rsid w:val="00FD0214"/>
    <w:rsid w:val="00FE7E3C"/>
    <w:rsid w:val="00FF19BC"/>
    <w:rsid w:val="00FF6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F074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E47DB"/>
    <w:rPr>
      <w:color w:val="0000FF" w:themeColor="hyperlink"/>
      <w:u w:val="single"/>
    </w:rPr>
  </w:style>
  <w:style w:type="character" w:customStyle="1" w:styleId="10">
    <w:name w:val="Заголовок 1 Знак"/>
    <w:basedOn w:val="a0"/>
    <w:link w:val="1"/>
    <w:rsid w:val="00F0743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F074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E47DB"/>
    <w:rPr>
      <w:color w:val="0000FF" w:themeColor="hyperlink"/>
      <w:u w:val="single"/>
    </w:rPr>
  </w:style>
  <w:style w:type="character" w:customStyle="1" w:styleId="10">
    <w:name w:val="Заголовок 1 Знак"/>
    <w:basedOn w:val="a0"/>
    <w:link w:val="1"/>
    <w:rsid w:val="00F0743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1658">
      <w:bodyDiv w:val="1"/>
      <w:marLeft w:val="0"/>
      <w:marRight w:val="0"/>
      <w:marTop w:val="0"/>
      <w:marBottom w:val="0"/>
      <w:divBdr>
        <w:top w:val="none" w:sz="0" w:space="0" w:color="auto"/>
        <w:left w:val="none" w:sz="0" w:space="0" w:color="auto"/>
        <w:bottom w:val="none" w:sz="0" w:space="0" w:color="auto"/>
        <w:right w:val="none" w:sz="0" w:space="0" w:color="auto"/>
      </w:divBdr>
      <w:divsChild>
        <w:div w:id="1048920762">
          <w:marLeft w:val="0"/>
          <w:marRight w:val="0"/>
          <w:marTop w:val="0"/>
          <w:marBottom w:val="0"/>
          <w:divBdr>
            <w:top w:val="none" w:sz="0" w:space="0" w:color="auto"/>
            <w:left w:val="none" w:sz="0" w:space="0" w:color="auto"/>
            <w:bottom w:val="none" w:sz="0" w:space="0" w:color="auto"/>
            <w:right w:val="none" w:sz="0" w:space="0" w:color="auto"/>
          </w:divBdr>
        </w:div>
      </w:divsChild>
    </w:div>
    <w:div w:id="423499539">
      <w:bodyDiv w:val="1"/>
      <w:marLeft w:val="0"/>
      <w:marRight w:val="0"/>
      <w:marTop w:val="0"/>
      <w:marBottom w:val="0"/>
      <w:divBdr>
        <w:top w:val="none" w:sz="0" w:space="0" w:color="auto"/>
        <w:left w:val="none" w:sz="0" w:space="0" w:color="auto"/>
        <w:bottom w:val="none" w:sz="0" w:space="0" w:color="auto"/>
        <w:right w:val="none" w:sz="0" w:space="0" w:color="auto"/>
      </w:divBdr>
    </w:div>
    <w:div w:id="1072315260">
      <w:bodyDiv w:val="1"/>
      <w:marLeft w:val="0"/>
      <w:marRight w:val="0"/>
      <w:marTop w:val="0"/>
      <w:marBottom w:val="0"/>
      <w:divBdr>
        <w:top w:val="none" w:sz="0" w:space="0" w:color="auto"/>
        <w:left w:val="none" w:sz="0" w:space="0" w:color="auto"/>
        <w:bottom w:val="none" w:sz="0" w:space="0" w:color="auto"/>
        <w:right w:val="none" w:sz="0" w:space="0" w:color="auto"/>
      </w:divBdr>
    </w:div>
    <w:div w:id="188097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2E91D8929EF9196F2334F8BB25307C2142F291298E97DE4A44866E65795BB52545A994612862D009X" TargetMode="External"/><Relationship Id="rId13" Type="http://schemas.openxmlformats.org/officeDocument/2006/relationships/hyperlink" Target="http://base.consultant.ru/cons/cgi/online.cgi?req=doc;base=LAW;n=176611" TargetMode="External"/><Relationship Id="rId3" Type="http://schemas.openxmlformats.org/officeDocument/2006/relationships/settings" Target="settings.xml"/><Relationship Id="rId7" Type="http://schemas.openxmlformats.org/officeDocument/2006/relationships/hyperlink" Target="consultantplus://offline/ref=872AABD5635DAE6DB124F37326FD3BFCE80B844069743A13CD91D9646341wBX" TargetMode="External"/><Relationship Id="rId12" Type="http://schemas.openxmlformats.org/officeDocument/2006/relationships/hyperlink" Target="http://www.consultant.ru/law/hotdocs/41725.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instroyrf.ru/upload/iblock/a38/7288_ach04.pdf" TargetMode="External"/><Relationship Id="rId11" Type="http://schemas.openxmlformats.org/officeDocument/2006/relationships/hyperlink" Target="http://static.consultant.ru/obj/file/doc/bank_130315.rtf" TargetMode="External"/><Relationship Id="rId5" Type="http://schemas.openxmlformats.org/officeDocument/2006/relationships/hyperlink" Target="http://www.rg.ru/2015/03/20/komm-dok.html" TargetMode="External"/><Relationship Id="rId15" Type="http://schemas.openxmlformats.org/officeDocument/2006/relationships/hyperlink" Target="http://base.consultant.ru/cons/cgi/online.cgi?req=doc;base=LAW;n=176633" TargetMode="External"/><Relationship Id="rId10" Type="http://schemas.openxmlformats.org/officeDocument/2006/relationships/hyperlink" Target="consultantplus://offline/ref=6BD4BD612E730FAB17FA6BA628937EBD2BE89BEBC6BDFA6CCAB326E58A1506085E7A246CABB828SBADA" TargetMode="External"/><Relationship Id="rId4" Type="http://schemas.openxmlformats.org/officeDocument/2006/relationships/webSettings" Target="webSettings.xml"/><Relationship Id="rId9" Type="http://schemas.openxmlformats.org/officeDocument/2006/relationships/hyperlink" Target="consultantplus://offline/ref=FA5B0DF58C4B10C3641A75EAE0401381A15D435DC59E0CB97E94B93427t541X" TargetMode="External"/><Relationship Id="rId14" Type="http://schemas.openxmlformats.org/officeDocument/2006/relationships/hyperlink" Target="http://base.consultant.ru/cons/cgi/online.cgi?req=doc;base=LAW;n=1766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1919</Words>
  <Characters>10939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Геннадьевна Усачева</dc:creator>
  <cp:lastModifiedBy>Виктория Геннадьевна Усачева</cp:lastModifiedBy>
  <cp:revision>10</cp:revision>
  <dcterms:created xsi:type="dcterms:W3CDTF">2015-03-18T23:50:00Z</dcterms:created>
  <dcterms:modified xsi:type="dcterms:W3CDTF">2015-03-20T04:40:00Z</dcterms:modified>
</cp:coreProperties>
</file>