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EBC8" w14:textId="77777777" w:rsidR="008E772E" w:rsidRDefault="008E77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A364B33" w14:textId="77777777" w:rsidR="008E772E" w:rsidRDefault="008E772E">
      <w:pPr>
        <w:pStyle w:val="ConsPlusNormal"/>
        <w:ind w:firstLine="540"/>
        <w:jc w:val="both"/>
        <w:outlineLvl w:val="0"/>
      </w:pPr>
    </w:p>
    <w:p w14:paraId="2FEF9A73" w14:textId="77777777" w:rsidR="008E772E" w:rsidRDefault="008E772E">
      <w:pPr>
        <w:pStyle w:val="ConsPlusTitle"/>
        <w:jc w:val="center"/>
      </w:pPr>
      <w:r>
        <w:t>ВЕРХОВНЫЙ СУД РОССИЙСКОЙ ФЕДЕРАЦИИ</w:t>
      </w:r>
    </w:p>
    <w:p w14:paraId="16050D17" w14:textId="77777777" w:rsidR="008E772E" w:rsidRDefault="008E772E">
      <w:pPr>
        <w:pStyle w:val="ConsPlusTitle"/>
        <w:jc w:val="center"/>
      </w:pPr>
    </w:p>
    <w:p w14:paraId="5AD3E0A1" w14:textId="77777777" w:rsidR="008E772E" w:rsidRDefault="008E772E">
      <w:pPr>
        <w:pStyle w:val="ConsPlusTitle"/>
        <w:jc w:val="center"/>
      </w:pPr>
      <w:r>
        <w:t>ОПРЕДЕЛЕНИЕ</w:t>
      </w:r>
    </w:p>
    <w:p w14:paraId="0D5D5FF3" w14:textId="77777777" w:rsidR="008E772E" w:rsidRDefault="008E772E">
      <w:pPr>
        <w:pStyle w:val="ConsPlusTitle"/>
        <w:jc w:val="center"/>
      </w:pPr>
      <w:r>
        <w:t>от 14 февраля 2020 г. N 303-ЭС19-27925</w:t>
      </w:r>
    </w:p>
    <w:p w14:paraId="5236B07D" w14:textId="77777777" w:rsidR="008E772E" w:rsidRDefault="008E772E">
      <w:pPr>
        <w:pStyle w:val="ConsPlusNormal"/>
        <w:ind w:firstLine="540"/>
        <w:jc w:val="both"/>
      </w:pPr>
    </w:p>
    <w:p w14:paraId="171D82A1" w14:textId="77777777" w:rsidR="008E772E" w:rsidRDefault="008E772E">
      <w:pPr>
        <w:pStyle w:val="ConsPlusNormal"/>
        <w:ind w:firstLine="540"/>
        <w:jc w:val="both"/>
      </w:pPr>
      <w:r>
        <w:t xml:space="preserve">Судья Верховного Суда Российской Федерации Тютин Д.В., изучив кассационную жалобу общества с ограниченной ответственностью Управляющая компания "Северный округ" на решение Арбитражного суда Хабаровского края от 29.04.2019 по делу N А73-8877/2018,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Шестого арбитражного апелляционного суда от 10.07.2019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Дальневосточного округа от 23.10.2019 по указанному делу</w:t>
      </w:r>
    </w:p>
    <w:p w14:paraId="62291E72" w14:textId="77777777" w:rsidR="008E772E" w:rsidRDefault="008E772E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Управляющая компания "Северный округ" к Межрайонной инспекции Федеральной налоговой службы N 6 по Хабаровскому краю об оспаривании решения,</w:t>
      </w:r>
    </w:p>
    <w:p w14:paraId="5E81F1F3" w14:textId="77777777" w:rsidR="008E772E" w:rsidRDefault="008E772E">
      <w:pPr>
        <w:pStyle w:val="ConsPlusNormal"/>
        <w:spacing w:before="220"/>
        <w:ind w:firstLine="540"/>
        <w:jc w:val="both"/>
      </w:pPr>
      <w:r>
        <w:t>при участии третьего лица, не заявляющего самостоятельных требований относительно предмета спора, Управления Федеральной налоговой службы по Хабаровскому краю (далее - управление),</w:t>
      </w:r>
    </w:p>
    <w:p w14:paraId="3A2BDEC1" w14:textId="77777777" w:rsidR="008E772E" w:rsidRDefault="008E772E">
      <w:pPr>
        <w:pStyle w:val="ConsPlusNormal"/>
        <w:jc w:val="center"/>
      </w:pPr>
    </w:p>
    <w:p w14:paraId="400D6609" w14:textId="77777777" w:rsidR="008E772E" w:rsidRDefault="008E772E">
      <w:pPr>
        <w:pStyle w:val="ConsPlusNormal"/>
        <w:jc w:val="center"/>
      </w:pPr>
      <w:r>
        <w:t>установил:</w:t>
      </w:r>
    </w:p>
    <w:p w14:paraId="5D102B87" w14:textId="77777777" w:rsidR="008E772E" w:rsidRDefault="008E772E">
      <w:pPr>
        <w:pStyle w:val="ConsPlusNormal"/>
        <w:jc w:val="center"/>
      </w:pPr>
    </w:p>
    <w:p w14:paraId="5062C617" w14:textId="77777777" w:rsidR="008E772E" w:rsidRDefault="008E772E">
      <w:pPr>
        <w:pStyle w:val="ConsPlusNormal"/>
        <w:ind w:firstLine="540"/>
        <w:jc w:val="both"/>
      </w:pPr>
      <w:r>
        <w:t xml:space="preserve">общество с ограниченной ответственностью Управляющая компания "Северный округ" (далее - общество, заявитель) обратилось в арбитражный суд с заявлением о признании недействительным решения Межрайонной инспекции Федеральной налоговой службы N 6 по Хабаровскому краю (далее - инспекция, налоговый орган) от 09.02.2018 N 16-25/259 (в редакции решения управления от 16.04.2019 N 05-16/07813) в части доначисления 14 722 847 рублей налога на добавленную стоимость (далее - НДС), начисления 2 883 118 рублей пени и 145 207 рублей штрафа (требование уточнено в порядке </w:t>
      </w:r>
      <w:hyperlink r:id="rId7" w:history="1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Федерации).</w:t>
      </w:r>
    </w:p>
    <w:p w14:paraId="78563758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При новом рассмотрении дела решением Арбитражного суда Хабаровского края от 29.04.2019, оставленным без изменения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Шестого арбитражного апелляционного суда от 10.07.2019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Арбитражного суда Дальневосточного округа от 23.10.2019, в удовлетворении заявленного требования отказано.</w:t>
      </w:r>
    </w:p>
    <w:p w14:paraId="1E9626C1" w14:textId="77777777" w:rsidR="008E772E" w:rsidRDefault="008E772E">
      <w:pPr>
        <w:pStyle w:val="ConsPlusNormal"/>
        <w:spacing w:before="220"/>
        <w:ind w:firstLine="540"/>
        <w:jc w:val="both"/>
      </w:pPr>
      <w:r>
        <w:t>В кассационной жалобе заявитель просит отменить принятые по делу судебные акты, полагая, что они существенно нарушают нормы материального права, принцип единообразия судебной практики, а также права и законные интересы общества в сфере предпринимательской деятельности.</w:t>
      </w:r>
    </w:p>
    <w:p w14:paraId="0159704A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14:paraId="5F3586DF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Основания для пересмотра судебных актов в кассационном порядке по доводам жалобы </w:t>
      </w:r>
      <w:r>
        <w:lastRenderedPageBreak/>
        <w:t>отсутствуют.</w:t>
      </w:r>
    </w:p>
    <w:p w14:paraId="2383F780" w14:textId="77777777" w:rsidR="008E772E" w:rsidRDefault="008E772E">
      <w:pPr>
        <w:pStyle w:val="ConsPlusNormal"/>
        <w:spacing w:before="220"/>
        <w:ind w:firstLine="540"/>
        <w:jc w:val="both"/>
      </w:pPr>
      <w:r>
        <w:t>Как следует из судебных актов, оспоренным в части решением инспекции обществу доначислен НДС на стоимость операций по реализации работ (услуг) по содержанию общего имущества в многоквартирных домах, превышающую стоимость приобретения соответствующих работ (услуг) у организаций и индивидуальных предпринимателей, непосредственно выполнявших (оказывавших) данные работы (услуги) за 2014-2016 годы.</w:t>
      </w:r>
    </w:p>
    <w:p w14:paraId="18BAAA51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Повторно исследовав и оценив представленные доказательства в их совокупности и взаимной связи, руководствуясь положениями </w:t>
      </w:r>
      <w:hyperlink r:id="rId11" w:history="1">
        <w:r>
          <w:rPr>
            <w:color w:val="0000FF"/>
          </w:rPr>
          <w:t>статей 146</w:t>
        </w:r>
      </w:hyperlink>
      <w:r>
        <w:t xml:space="preserve">, </w:t>
      </w:r>
      <w:hyperlink r:id="rId12" w:history="1">
        <w:r>
          <w:rPr>
            <w:color w:val="0000FF"/>
          </w:rPr>
          <w:t>149</w:t>
        </w:r>
      </w:hyperlink>
      <w:r>
        <w:t xml:space="preserve">, </w:t>
      </w:r>
      <w:hyperlink r:id="rId13" w:history="1">
        <w:r>
          <w:rPr>
            <w:color w:val="0000FF"/>
          </w:rPr>
          <w:t>166</w:t>
        </w:r>
      </w:hyperlink>
      <w:r>
        <w:t xml:space="preserve">, </w:t>
      </w:r>
      <w:hyperlink r:id="rId14" w:history="1">
        <w:r>
          <w:rPr>
            <w:color w:val="0000FF"/>
          </w:rPr>
          <w:t>167</w:t>
        </w:r>
      </w:hyperlink>
      <w:r>
        <w:t xml:space="preserve">, </w:t>
      </w:r>
      <w:hyperlink r:id="rId15" w:history="1">
        <w:r>
          <w:rPr>
            <w:color w:val="0000FF"/>
          </w:rPr>
          <w:t>170</w:t>
        </w:r>
      </w:hyperlink>
      <w:r>
        <w:t xml:space="preserve"> Налогового кодекса Российской Федерации, суды первой и апелляционной инстанций пришли к выводам об отсутствии оснований для признания недействительным решения налогового органа, с чем согласился суд округа.</w:t>
      </w:r>
    </w:p>
    <w:p w14:paraId="4C249D79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Суды поддержали выводы инспекции о том, что в рассматриваемом случае стоимость работ (услуг) по содержанию и ремонту общего имущества, предъявленная потребителям по установленным тарифам, превышает стоимость указанных работ (услуг), приобретенных у подрядных организаций, с которой не подлежит исчислению и уплате НДС в силу </w:t>
      </w:r>
      <w:hyperlink r:id="rId16" w:history="1">
        <w:r>
          <w:rPr>
            <w:color w:val="0000FF"/>
          </w:rPr>
          <w:t>подпункта 30 пункта 3 статьи 149</w:t>
        </w:r>
      </w:hyperlink>
      <w:r>
        <w:t xml:space="preserve"> Налогового кодекса Российской Федерации. В связи с этим разница между ценой реализации и ценой приобретения соответствующих работ (услуг) облагается НДС в общем порядке. Суды также признали правомерным определение размера подлежащего перечислению в бюджет налога по расчетной ставке.</w:t>
      </w:r>
    </w:p>
    <w:p w14:paraId="33B9FFB4" w14:textId="77777777" w:rsidR="008E772E" w:rsidRDefault="008E772E">
      <w:pPr>
        <w:pStyle w:val="ConsPlusNormal"/>
        <w:spacing w:before="220"/>
        <w:ind w:firstLine="540"/>
        <w:jc w:val="both"/>
      </w:pPr>
      <w:r>
        <w:t>Доводы заявителя о необоснованном доначислении НДС без его уменьшения на налоговые вычеты правомерно отклонены судами с учетом установленных обстоятельств дела, поскольку доказательств наличия прав на налоговые вычеты им не приведено.</w:t>
      </w:r>
    </w:p>
    <w:p w14:paraId="01936094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Имеющиеся в жалобе доводы не подтверждают существенные нарушения судами норм материального и (или) процессуального права, которые могли повлиять на исход дела и являются достаточным основанием для пересмотра обжалуемых судебных актов в кассационном порядке в силу </w:t>
      </w:r>
      <w:hyperlink r:id="rId17" w:history="1">
        <w:r>
          <w:rPr>
            <w:color w:val="0000FF"/>
          </w:rPr>
          <w:t>статьи 291.6</w:t>
        </w:r>
      </w:hyperlink>
      <w:r>
        <w:t xml:space="preserve"> Арбитражного процессуального кодекса Российской Федерации.</w:t>
      </w:r>
    </w:p>
    <w:p w14:paraId="0DECCC7C" w14:textId="77777777" w:rsidR="008E772E" w:rsidRDefault="008E772E">
      <w:pPr>
        <w:pStyle w:val="ConsPlusNormal"/>
        <w:spacing w:before="220"/>
        <w:ind w:firstLine="540"/>
        <w:jc w:val="both"/>
      </w:pPr>
      <w:r>
        <w:t xml:space="preserve">Исходя из изложенного, руководствуясь </w:t>
      </w:r>
      <w:hyperlink r:id="rId18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9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14:paraId="506D65CC" w14:textId="77777777" w:rsidR="008E772E" w:rsidRDefault="008E772E">
      <w:pPr>
        <w:pStyle w:val="ConsPlusNormal"/>
        <w:jc w:val="center"/>
      </w:pPr>
    </w:p>
    <w:p w14:paraId="0FE723A8" w14:textId="77777777" w:rsidR="008E772E" w:rsidRDefault="008E772E">
      <w:pPr>
        <w:pStyle w:val="ConsPlusNormal"/>
        <w:jc w:val="center"/>
      </w:pPr>
      <w:r>
        <w:t>определил:</w:t>
      </w:r>
    </w:p>
    <w:p w14:paraId="314FAC6A" w14:textId="77777777" w:rsidR="008E772E" w:rsidRDefault="008E772E">
      <w:pPr>
        <w:pStyle w:val="ConsPlusNormal"/>
        <w:jc w:val="center"/>
      </w:pPr>
    </w:p>
    <w:p w14:paraId="589623D1" w14:textId="77777777" w:rsidR="008E772E" w:rsidRDefault="008E772E">
      <w:pPr>
        <w:pStyle w:val="ConsPlusNormal"/>
        <w:ind w:firstLine="540"/>
        <w:jc w:val="both"/>
      </w:pPr>
      <w:r>
        <w:t>отказать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14:paraId="12E8E371" w14:textId="77777777" w:rsidR="008E772E" w:rsidRDefault="008E772E">
      <w:pPr>
        <w:pStyle w:val="ConsPlusNormal"/>
        <w:ind w:firstLine="540"/>
        <w:jc w:val="both"/>
      </w:pPr>
    </w:p>
    <w:p w14:paraId="0B6A29B7" w14:textId="77777777" w:rsidR="008E772E" w:rsidRDefault="008E772E">
      <w:pPr>
        <w:pStyle w:val="ConsPlusNormal"/>
        <w:jc w:val="right"/>
      </w:pPr>
      <w:r>
        <w:t>Судья</w:t>
      </w:r>
    </w:p>
    <w:p w14:paraId="02CF05C9" w14:textId="77777777" w:rsidR="008E772E" w:rsidRDefault="008E772E">
      <w:pPr>
        <w:pStyle w:val="ConsPlusNormal"/>
        <w:jc w:val="right"/>
      </w:pPr>
      <w:r>
        <w:t>Верховного Суда Российской Федерации</w:t>
      </w:r>
    </w:p>
    <w:p w14:paraId="5B1D9B40" w14:textId="77777777" w:rsidR="008E772E" w:rsidRDefault="008E772E">
      <w:pPr>
        <w:pStyle w:val="ConsPlusNormal"/>
        <w:jc w:val="right"/>
      </w:pPr>
      <w:r>
        <w:t>Д.В.ТЮТИН</w:t>
      </w:r>
    </w:p>
    <w:p w14:paraId="19D9DF0A" w14:textId="77777777" w:rsidR="008E772E" w:rsidRDefault="008E772E">
      <w:pPr>
        <w:pStyle w:val="ConsPlusNormal"/>
        <w:ind w:firstLine="540"/>
        <w:jc w:val="both"/>
      </w:pPr>
    </w:p>
    <w:p w14:paraId="564E459E" w14:textId="77777777" w:rsidR="008E772E" w:rsidRDefault="008E772E">
      <w:pPr>
        <w:pStyle w:val="ConsPlusNormal"/>
        <w:ind w:firstLine="540"/>
        <w:jc w:val="both"/>
      </w:pPr>
    </w:p>
    <w:p w14:paraId="13D1A714" w14:textId="77777777" w:rsidR="008E772E" w:rsidRDefault="008E7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5A0790" w14:textId="77777777" w:rsidR="00C24485" w:rsidRDefault="008E772E"/>
    <w:sectPr w:rsidR="00C24485" w:rsidSect="00BD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2E"/>
    <w:rsid w:val="001500F0"/>
    <w:rsid w:val="00221853"/>
    <w:rsid w:val="002E6D46"/>
    <w:rsid w:val="008E772E"/>
    <w:rsid w:val="00C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03C5"/>
  <w15:chartTrackingRefBased/>
  <w15:docId w15:val="{85A42735-BDC6-40A4-A4A6-48F48A7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1AEE1FB619E3F4C66ACB6A28A9F058CACC26EB17A698D0FE73A6372A32AFA0B5E23F7ACBD6C7E5F61DC8ABE5B3AC7395CB" TargetMode="External"/><Relationship Id="rId13" Type="http://schemas.openxmlformats.org/officeDocument/2006/relationships/hyperlink" Target="consultantplus://offline/ref=3231AEE1FB619E3F4C66ACADA0E2C10889A59E66BE7B67D852B8613E25AA20AD4C117AA7E8E8657D507488DDE40C37C495199D98F9589C65385DB" TargetMode="External"/><Relationship Id="rId18" Type="http://schemas.openxmlformats.org/officeDocument/2006/relationships/hyperlink" Target="consultantplus://offline/ref=3231AEE1FB619E3F4C66ACADA0E2C10889A49561B77867D852B8613E25AA20AD4C117AA1ECEC6A2B073B8981A15024C59A199F9EE5355A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31AEE1FB619E3F4C66ACADA0E2C10889A49561B77867D852B8613E25AA20AD4C117AA7E8E86377547488DDE40C37C495199D98F9589C65385DB" TargetMode="External"/><Relationship Id="rId12" Type="http://schemas.openxmlformats.org/officeDocument/2006/relationships/hyperlink" Target="consultantplus://offline/ref=3231AEE1FB619E3F4C66ACADA0E2C10889A59E66BE7B67D852B8613E25AA20AD4C117AA7E8E86177567488DDE40C37C495199D98F9589C65385DB" TargetMode="External"/><Relationship Id="rId17" Type="http://schemas.openxmlformats.org/officeDocument/2006/relationships/hyperlink" Target="consultantplus://offline/ref=3231AEE1FB619E3F4C66ACADA0E2C10889A49561B77867D852B8613E25AA20AD4C117AA1ECEC6A2B073B8981A15024C59A199F9EE5355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1AEE1FB619E3F4C66ACADA0E2C10889A59E66BE7B67D852B8613E25AA20AD4C117AAEE9EF6274022E98D9AD5833DB9C01839CE758395C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1AEE1FB619E3F4C66ADB3A4E2C1088BA69D61B37A67D852B8613E25AA20AD5E1122ABE9E17F7F5061DE8CA23559B" TargetMode="External"/><Relationship Id="rId11" Type="http://schemas.openxmlformats.org/officeDocument/2006/relationships/hyperlink" Target="consultantplus://offline/ref=3231AEE1FB619E3F4C66ACADA0E2C10889A59E66BE7B67D852B8613E25AA20AD4C117AA7E8E8617B577488DDE40C37C495199D98F9589C65385DB" TargetMode="External"/><Relationship Id="rId5" Type="http://schemas.openxmlformats.org/officeDocument/2006/relationships/hyperlink" Target="consultantplus://offline/ref=3231AEE1FB619E3F4C66ACB6A28A9F058CACC26EB17A698D0FE73A6372A32AFA0B5E23F7ACBD6C7E5F61DC8ABE5B3AC7395CB" TargetMode="External"/><Relationship Id="rId15" Type="http://schemas.openxmlformats.org/officeDocument/2006/relationships/hyperlink" Target="consultantplus://offline/ref=3231AEE1FB619E3F4C66ACADA0E2C10889A59E66BE7B67D852B8613E25AA20AD4C117AA7E8E86576507488DDE40C37C495199D98F9589C65385DB" TargetMode="External"/><Relationship Id="rId10" Type="http://schemas.openxmlformats.org/officeDocument/2006/relationships/hyperlink" Target="consultantplus://offline/ref=3231AEE1FB619E3F4C66ACADA0E2C10889A49561B77867D852B8613E25AA20AD4C117AA1EDEA6A2B073B8981A15024C59A199F9EE5355AB" TargetMode="External"/><Relationship Id="rId19" Type="http://schemas.openxmlformats.org/officeDocument/2006/relationships/hyperlink" Target="consultantplus://offline/ref=3231AEE1FB619E3F4C66ACADA0E2C10889A49561B77867D852B8613E25AA20AD4C117AA1EDE06A2B073B8981A15024C59A199F9EE5355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1AEE1FB619E3F4C66ADB3A4E2C1088BA69D61B37A67D852B8613E25AA20AD5E1122ABE9E17F7F5061DE8CA23559B" TargetMode="External"/><Relationship Id="rId14" Type="http://schemas.openxmlformats.org/officeDocument/2006/relationships/hyperlink" Target="consultantplus://offline/ref=3231AEE1FB619E3F4C66ACADA0E2C10889A59E66BE7B67D852B8613E25AA20AD4C117AA4E8E06874022E98D9AD5833DB9C01839CE75839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Pressa_R</dc:creator>
  <cp:keywords/>
  <dc:description/>
  <cp:lastModifiedBy>Pressa_R</cp:lastModifiedBy>
  <cp:revision>1</cp:revision>
  <dcterms:created xsi:type="dcterms:W3CDTF">2020-06-19T01:57:00Z</dcterms:created>
  <dcterms:modified xsi:type="dcterms:W3CDTF">2020-06-19T01:59:00Z</dcterms:modified>
</cp:coreProperties>
</file>